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tabs>
          <w:tab w:val="left" w:pos="8849"/>
        </w:tabs>
      </w:pPr>
    </w:p>
    <w:p>
      <w:pPr>
        <w:pStyle w:val="Minor_Title_Arial"/>
        <w:bidi w:val="0"/>
      </w:pPr>
      <w:bookmarkStart w:name="IDDRes002_mN61_count" w:id="0"/>
      <w:bookmarkEnd w:id="0"/>
    </w:p>
    <w:p>
      <w:pPr>
        <w:pStyle w:val="Minor_Title_Arial"/>
        <w:tabs>
          <w:tab w:val="left" w:pos="964"/>
          <w:tab w:val="left" w:pos="1928"/>
          <w:tab w:val="left" w:pos="2892"/>
          <w:tab w:val="left" w:pos="3856"/>
          <w:tab w:val="left" w:pos="4820"/>
          <w:tab w:val="left" w:pos="5784"/>
          <w:tab w:val="left" w:pos="6748"/>
          <w:tab w:val="left" w:pos="7712"/>
          <w:tab w:val="left" w:pos="8676"/>
        </w:tabs>
        <w:spacing w:line="360" w:lineRule="auto"/>
      </w:pPr>
      <w:r>
        <w:rPr>
          <w:rFonts w:ascii="Helvetica Neue" w:hAnsi="Helvetica Neue"/>
          <w:sz w:val="32"/>
          <w:szCs w:val="32"/>
          <w:rtl w:val="0"/>
          <w:lang w:val="en-US"/>
        </w:rPr>
        <w:t>PAYYAP LLC</w:t>
      </w:r>
    </w:p>
    <w:p>
      <w:pPr>
        <w:pStyle w:val="Minor_Title_Arial"/>
        <w:tabs>
          <w:tab w:val="left" w:pos="964"/>
          <w:tab w:val="left" w:pos="1928"/>
          <w:tab w:val="left" w:pos="2892"/>
          <w:tab w:val="left" w:pos="3856"/>
          <w:tab w:val="left" w:pos="4820"/>
          <w:tab w:val="left" w:pos="5784"/>
          <w:tab w:val="left" w:pos="6748"/>
          <w:tab w:val="left" w:pos="7712"/>
          <w:tab w:val="left" w:pos="8676"/>
        </w:tabs>
        <w:spacing w:line="360" w:lineRule="auto"/>
      </w:pPr>
      <w:r>
        <w:rPr>
          <w:rFonts w:ascii="Helvetica Neue" w:hAnsi="Helvetica Neue"/>
          <w:sz w:val="20"/>
          <w:szCs w:val="20"/>
          <w:rtl w:val="0"/>
          <w:lang w:val="en-US"/>
        </w:rPr>
        <w:t>(US EIN: 45-2502029)</w:t>
      </w:r>
    </w:p>
    <w:p>
      <w:pPr>
        <w:pStyle w:val="Mini_Title_Arial"/>
        <w:bidi w:val="0"/>
      </w:pPr>
      <w:r>
        <w:rPr>
          <w:rFonts w:ascii="Helvetica Neue" w:hAnsi="Helvetica Neue"/>
          <w:sz w:val="22"/>
          <w:szCs w:val="22"/>
          <w:rtl w:val="0"/>
          <w:lang w:val="en-US"/>
        </w:rPr>
        <w:t>(</w:t>
      </w:r>
      <w:r>
        <w:rPr>
          <w:rFonts w:ascii="Helvetica Neue" w:hAnsi="Helvetica Neue" w:hint="default"/>
          <w:sz w:val="22"/>
          <w:szCs w:val="22"/>
          <w:rtl w:val="0"/>
          <w:lang w:val="en-US"/>
        </w:rPr>
        <w:t>“</w:t>
      </w:r>
      <w:r>
        <w:rPr>
          <w:rFonts w:ascii="Helvetica Neue" w:hAnsi="Helvetica Neue"/>
          <w:sz w:val="22"/>
          <w:szCs w:val="22"/>
          <w:rtl w:val="0"/>
          <w:lang w:val="en-US"/>
        </w:rPr>
        <w:t>Company</w:t>
      </w:r>
      <w:r>
        <w:rPr>
          <w:rFonts w:ascii="Helvetica Neue" w:hAnsi="Helvetica Neue" w:hint="default"/>
          <w:sz w:val="22"/>
          <w:szCs w:val="22"/>
          <w:rtl w:val="0"/>
          <w:lang w:val="en-US"/>
        </w:rPr>
        <w:t>”</w:t>
      </w:r>
      <w:r>
        <w:rPr>
          <w:rFonts w:ascii="Helvetica Neue" w:hAnsi="Helvetica Neue"/>
          <w:sz w:val="22"/>
          <w:szCs w:val="22"/>
          <w:rtl w:val="0"/>
          <w:lang w:val="en-US"/>
        </w:rPr>
        <w:t>)</w:t>
      </w:r>
    </w:p>
    <w:p>
      <w:pPr>
        <w:pStyle w:val="Mini_Title_Arial"/>
        <w:tabs>
          <w:tab w:val="left" w:pos="964"/>
          <w:tab w:val="left" w:pos="1928"/>
          <w:tab w:val="left" w:pos="2892"/>
          <w:tab w:val="left" w:pos="3856"/>
          <w:tab w:val="left" w:pos="4820"/>
          <w:tab w:val="left" w:pos="5784"/>
          <w:tab w:val="left" w:pos="6748"/>
          <w:tab w:val="left" w:pos="7712"/>
          <w:tab w:val="left" w:pos="8676"/>
        </w:tabs>
      </w:pP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line="360" w:lineRule="auto"/>
      </w:pPr>
      <w:r>
        <w:rPr>
          <w:rFonts w:ascii="Helvetica Neue" w:hAnsi="Helvetica Neue"/>
          <w:color w:val="000000"/>
          <w:sz w:val="22"/>
          <w:szCs w:val="22"/>
          <w:rtl w:val="0"/>
          <w:lang w:val="en-US"/>
        </w:rPr>
        <w:t>VERGENT CAPITAL LLC</w:t>
      </w:r>
      <w:r>
        <w:rPr>
          <w:rFonts w:ascii="Helvetica Neue" w:hAnsi="Helvetica Neue"/>
          <w:color w:val="000000"/>
          <w:sz w:val="32"/>
          <w:szCs w:val="32"/>
          <w:rtl w:val="0"/>
          <w:lang w:val="en-US"/>
        </w:rPr>
        <w:t xml:space="preserve"> </w:t>
      </w:r>
    </w:p>
    <w:p>
      <w:pPr>
        <w:pStyle w:val="Minor_Title_Arial"/>
        <w:tabs>
          <w:tab w:val="left" w:pos="964"/>
          <w:tab w:val="left" w:pos="1928"/>
          <w:tab w:val="left" w:pos="2892"/>
          <w:tab w:val="left" w:pos="3856"/>
          <w:tab w:val="left" w:pos="4820"/>
          <w:tab w:val="left" w:pos="5784"/>
          <w:tab w:val="left" w:pos="6748"/>
          <w:tab w:val="left" w:pos="7712"/>
          <w:tab w:val="left" w:pos="8676"/>
        </w:tabs>
        <w:spacing w:line="360" w:lineRule="auto"/>
      </w:pPr>
      <w:r>
        <w:rPr>
          <w:rFonts w:ascii="Helvetica Neue" w:hAnsi="Helvetica Neue"/>
          <w:sz w:val="20"/>
          <w:szCs w:val="20"/>
          <w:rtl w:val="0"/>
          <w:lang w:val="en-US"/>
        </w:rPr>
        <w:t>(</w:t>
      </w:r>
      <w:r>
        <w:rPr>
          <w:rFonts w:ascii="Helvetica Neue" w:hAnsi="Helvetica Neue"/>
          <w:sz w:val="20"/>
          <w:szCs w:val="20"/>
          <w:rtl w:val="0"/>
          <w:lang w:val="en-US"/>
        </w:rPr>
        <w:t>US EIN: _____________________</w:t>
      </w:r>
      <w:r>
        <w:rPr>
          <w:rFonts w:ascii="Helvetica Neue" w:hAnsi="Helvetica Neue"/>
          <w:sz w:val="20"/>
          <w:szCs w:val="20"/>
          <w:rtl w:val="0"/>
          <w:lang w:val="en-US"/>
        </w:rPr>
        <w:t>)</w:t>
      </w:r>
    </w:p>
    <w:p>
      <w:pPr>
        <w:pStyle w:val="Minor_Title_Arial"/>
        <w:tabs>
          <w:tab w:val="left" w:pos="964"/>
          <w:tab w:val="left" w:pos="1928"/>
          <w:tab w:val="left" w:pos="2892"/>
          <w:tab w:val="left" w:pos="3856"/>
          <w:tab w:val="left" w:pos="4820"/>
          <w:tab w:val="left" w:pos="5784"/>
          <w:tab w:val="left" w:pos="6748"/>
          <w:tab w:val="left" w:pos="7712"/>
          <w:tab w:val="left" w:pos="8676"/>
        </w:tabs>
      </w:pPr>
    </w:p>
    <w:p>
      <w:pPr>
        <w:pStyle w:val="Minor_Title_Arial"/>
        <w:bidi w:val="0"/>
      </w:pPr>
      <w:r>
        <w:rPr>
          <w:rFonts w:ascii="Helvetica Neue" w:hAnsi="Helvetica Neue"/>
          <w:sz w:val="22"/>
          <w:szCs w:val="22"/>
          <w:rtl w:val="0"/>
          <w:lang w:val="en-US"/>
        </w:rPr>
        <w:t>(</w:t>
      </w:r>
      <w:r>
        <w:rPr>
          <w:rFonts w:ascii="Helvetica Neue" w:hAnsi="Helvetica Neue" w:hint="default"/>
          <w:sz w:val="22"/>
          <w:szCs w:val="22"/>
          <w:rtl w:val="0"/>
          <w:lang w:val="en-US"/>
        </w:rPr>
        <w:t>“</w:t>
      </w:r>
      <w:r>
        <w:rPr>
          <w:rFonts w:ascii="Helvetica Neue" w:hAnsi="Helvetica Neue"/>
          <w:sz w:val="22"/>
          <w:szCs w:val="22"/>
          <w:rtl w:val="0"/>
          <w:lang w:val="en-US"/>
        </w:rPr>
        <w:t>Subscriber</w:t>
      </w:r>
      <w:r>
        <w:rPr>
          <w:rFonts w:ascii="Helvetica Neue" w:hAnsi="Helvetica Neue" w:hint="default"/>
          <w:sz w:val="22"/>
          <w:szCs w:val="22"/>
          <w:rtl w:val="0"/>
          <w:lang w:val="en-US"/>
        </w:rPr>
        <w:t>”</w:t>
      </w:r>
      <w:r>
        <w:rPr>
          <w:rFonts w:ascii="Helvetica Neue" w:hAnsi="Helvetica Neue"/>
          <w:sz w:val="22"/>
          <w:szCs w:val="22"/>
          <w:rtl w:val="0"/>
          <w:lang w:val="en-US"/>
        </w:rPr>
        <w:t>)</w:t>
      </w:r>
    </w:p>
    <w:p>
      <w:pPr>
        <w:pStyle w:val="Normal.0"/>
        <w:tabs>
          <w:tab w:val="left" w:pos="964"/>
          <w:tab w:val="left" w:pos="1928"/>
          <w:tab w:val="left" w:pos="2892"/>
          <w:tab w:val="left" w:pos="3856"/>
          <w:tab w:val="left" w:pos="4820"/>
          <w:tab w:val="left" w:pos="5784"/>
          <w:tab w:val="left" w:pos="6748"/>
          <w:tab w:val="left" w:pos="7712"/>
          <w:tab w:val="left" w:pos="8676"/>
        </w:tabs>
      </w:pPr>
    </w:p>
    <w:p>
      <w:pPr>
        <w:pStyle w:val="Normal.0"/>
        <w:tabs>
          <w:tab w:val="left" w:pos="964"/>
          <w:tab w:val="left" w:pos="1928"/>
          <w:tab w:val="left" w:pos="2892"/>
          <w:tab w:val="left" w:pos="3856"/>
          <w:tab w:val="left" w:pos="4820"/>
          <w:tab w:val="left" w:pos="5784"/>
          <w:tab w:val="left" w:pos="6748"/>
          <w:tab w:val="left" w:pos="7712"/>
          <w:tab w:val="left" w:pos="8676"/>
        </w:tabs>
      </w:pPr>
    </w:p>
    <w:p>
      <w:pPr>
        <w:pStyle w:val="Normal.0"/>
        <w:tabs>
          <w:tab w:val="left" w:pos="964"/>
          <w:tab w:val="left" w:pos="1928"/>
          <w:tab w:val="left" w:pos="2892"/>
          <w:tab w:val="left" w:pos="3856"/>
          <w:tab w:val="left" w:pos="4820"/>
          <w:tab w:val="left" w:pos="5784"/>
          <w:tab w:val="left" w:pos="6748"/>
          <w:tab w:val="left" w:pos="7712"/>
          <w:tab w:val="left" w:pos="8676"/>
        </w:tabs>
      </w:pPr>
    </w:p>
    <w:p>
      <w:pPr>
        <w:pStyle w:val="Normal.0"/>
        <w:tabs>
          <w:tab w:val="left" w:pos="964"/>
          <w:tab w:val="left" w:pos="1928"/>
          <w:tab w:val="left" w:pos="2892"/>
          <w:tab w:val="left" w:pos="3856"/>
          <w:tab w:val="left" w:pos="4820"/>
          <w:tab w:val="left" w:pos="5784"/>
          <w:tab w:val="left" w:pos="6748"/>
          <w:tab w:val="left" w:pos="7712"/>
          <w:tab w:val="left" w:pos="8676"/>
        </w:tabs>
      </w:pPr>
    </w:p>
    <w:p>
      <w:pPr>
        <w:pStyle w:val="Normal.0"/>
        <w:tabs>
          <w:tab w:val="left" w:pos="964"/>
          <w:tab w:val="left" w:pos="1928"/>
          <w:tab w:val="left" w:pos="2892"/>
          <w:tab w:val="left" w:pos="3856"/>
          <w:tab w:val="left" w:pos="4820"/>
          <w:tab w:val="left" w:pos="5784"/>
          <w:tab w:val="left" w:pos="6748"/>
          <w:tab w:val="left" w:pos="7712"/>
          <w:tab w:val="left" w:pos="8676"/>
        </w:tabs>
      </w:pPr>
    </w:p>
    <w:p>
      <w:pPr>
        <w:pStyle w:val="Free Form"/>
        <w:bidi w:val="0"/>
        <w:sectPr>
          <w:headerReference w:type="default" r:id="rId4"/>
          <w:footerReference w:type="default" r:id="rId5"/>
          <w:pgSz w:w="11900" w:h="16840" w:orient="portrait"/>
          <w:pgMar w:top="1134" w:right="1134" w:bottom="1134" w:left="1417" w:header="1077" w:footer="562"/>
          <w:pgNumType w:start="1"/>
          <w:bidi w:val="0"/>
        </w:sectPr>
      </w:pPr>
    </w:p>
    <w:p>
      <w:pPr>
        <w:pStyle w:val="TOCHeader"/>
        <w:bidi w:val="0"/>
      </w:pPr>
      <w:r>
        <w:rPr>
          <w:rFonts w:ascii="Helvetica Neue" w:hAnsi="Helvetica Neue"/>
          <w:color w:val="000000"/>
          <w:sz w:val="28"/>
          <w:szCs w:val="28"/>
          <w:rtl w:val="0"/>
          <w:lang w:val="en-US"/>
        </w:rPr>
        <w:t>Contents</w:t>
      </w:r>
    </w:p>
    <w:p>
      <w:pPr>
        <w:pStyle w:val="Free Form"/>
        <w:bidi w:val="0"/>
      </w:pPr>
      <w:bookmarkStart w:name="_TOCRange" w:id="1"/>
      <w:r>
        <w:rPr>
          <w:rFonts w:ascii="Helvetica Neue" w:cs="Helvetica Neue" w:hAnsi="Helvetica Neue" w:eastAsia="Helvetica Neue"/>
          <w:color w:val="000000"/>
          <w:sz w:val="28"/>
          <w:szCs w:val="28"/>
        </w:rPr>
        <w:fldChar w:fldCharType="begin" w:fldLock="0"/>
      </w:r>
      <w:r>
        <w:rPr>
          <w:rFonts w:ascii="Helvetica Neue" w:cs="Helvetica Neue" w:hAnsi="Helvetica Neue" w:eastAsia="Helvetica Neue"/>
          <w:color w:val="000000"/>
          <w:sz w:val="28"/>
          <w:szCs w:val="28"/>
        </w:rPr>
        <w:instrText xml:space="preserve"> TOC \t "Heading 1 A, 1,Heading 2 A, 2,Heading 9 A, 3"\b _TOCRange </w:instrText>
      </w:r>
      <w:r>
        <w:rPr>
          <w:rFonts w:ascii="Helvetica Neue" w:cs="Helvetica Neue" w:hAnsi="Helvetica Neue" w:eastAsia="Helvetica Neue"/>
          <w:color w:val="000000"/>
          <w:sz w:val="28"/>
          <w:szCs w:val="28"/>
        </w:rPr>
        <w:fldChar w:fldCharType="separate" w:fldLock="0"/>
      </w:r>
    </w:p>
    <w:p>
      <w:pPr>
        <w:pStyle w:val="TOC 1 parent"/>
        <w:numPr>
          <w:ilvl w:val="0"/>
          <w:numId w:val="1"/>
        </w:numPr>
        <w:rPr>
          <w:lang w:val="en-US"/>
        </w:rPr>
      </w:pPr>
      <w:r>
        <w:rPr>
          <w:rtl w:val="0"/>
          <w:lang w:val="en-US"/>
        </w:rPr>
        <w:t>Definitions and interpretation</w:t>
        <w:tab/>
      </w:r>
      <w:r>
        <w:rPr/>
        <w:fldChar w:fldCharType="begin" w:fldLock="0"/>
      </w:r>
      <w:r>
        <w:instrText xml:space="preserve"> PAGEREF _Toc \h </w:instrText>
      </w:r>
      <w:r>
        <w:rPr/>
        <w:fldChar w:fldCharType="separate" w:fldLock="0"/>
      </w:r>
      <w:r>
        <w:rPr>
          <w:rtl w:val="0"/>
          <w:lang w:val="en-US"/>
        </w:rPr>
        <w:t>1</w:t>
      </w:r>
      <w:r>
        <w:rPr/>
        <w:fldChar w:fldCharType="end" w:fldLock="0"/>
      </w:r>
    </w:p>
    <w:p>
      <w:pPr>
        <w:pStyle w:val="TOC 1 parent"/>
        <w:numPr>
          <w:ilvl w:val="0"/>
          <w:numId w:val="1"/>
        </w:numPr>
        <w:rPr>
          <w:lang w:val="en-US"/>
        </w:rPr>
      </w:pPr>
      <w:r>
        <w:rPr>
          <w:rtl w:val="0"/>
          <w:lang w:val="en-US"/>
        </w:rPr>
        <w:t>Subscription for New Shares</w:t>
        <w:tab/>
      </w:r>
      <w:r>
        <w:rPr/>
        <w:fldChar w:fldCharType="begin" w:fldLock="0"/>
      </w:r>
      <w:r>
        <w:instrText xml:space="preserve"> PAGEREF _Toc1 \h </w:instrText>
      </w:r>
      <w:r>
        <w:rPr/>
        <w:fldChar w:fldCharType="separate" w:fldLock="0"/>
      </w:r>
      <w:r>
        <w:rPr>
          <w:rtl w:val="0"/>
          <w:lang w:val="en-US"/>
        </w:rPr>
        <w:t>2</w:t>
      </w:r>
      <w:r>
        <w:rPr/>
        <w:fldChar w:fldCharType="end" w:fldLock="0"/>
      </w:r>
    </w:p>
    <w:p>
      <w:pPr>
        <w:pStyle w:val="TOC 2 parent"/>
        <w:numPr>
          <w:ilvl w:val="1"/>
          <w:numId w:val="1"/>
        </w:numPr>
        <w:rPr>
          <w:lang w:val="en-US"/>
        </w:rPr>
      </w:pPr>
      <w:r>
        <w:rPr>
          <w:rtl w:val="0"/>
          <w:lang w:val="en-US"/>
        </w:rPr>
        <w:t>Subscription</w:t>
        <w:tab/>
      </w:r>
      <w:r>
        <w:rPr/>
        <w:fldChar w:fldCharType="begin" w:fldLock="0"/>
      </w:r>
      <w:r>
        <w:instrText xml:space="preserve"> PAGEREF _Toc2 \h </w:instrText>
      </w:r>
      <w:r>
        <w:rPr/>
        <w:fldChar w:fldCharType="separate" w:fldLock="0"/>
      </w:r>
      <w:r>
        <w:rPr>
          <w:rtl w:val="0"/>
          <w:lang w:val="en-US"/>
        </w:rPr>
        <w:t>2</w:t>
      </w:r>
      <w:r>
        <w:rPr/>
        <w:fldChar w:fldCharType="end" w:fldLock="0"/>
      </w:r>
    </w:p>
    <w:p>
      <w:pPr>
        <w:pStyle w:val="TOC 2 parent"/>
        <w:numPr>
          <w:ilvl w:val="1"/>
          <w:numId w:val="1"/>
        </w:numPr>
        <w:rPr>
          <w:lang w:val="en-US"/>
        </w:rPr>
      </w:pPr>
      <w:r>
        <w:rPr>
          <w:rtl w:val="0"/>
          <w:lang w:val="en-US"/>
        </w:rPr>
        <w:t>Time and Place for Subscription Completion</w:t>
        <w:tab/>
      </w:r>
      <w:r>
        <w:rPr/>
        <w:fldChar w:fldCharType="begin" w:fldLock="0"/>
      </w:r>
      <w:r>
        <w:instrText xml:space="preserve"> PAGEREF _Toc3 \h </w:instrText>
      </w:r>
      <w:r>
        <w:rPr/>
        <w:fldChar w:fldCharType="separate" w:fldLock="0"/>
      </w:r>
      <w:r>
        <w:rPr>
          <w:rtl w:val="0"/>
          <w:lang w:val="en-US"/>
        </w:rPr>
        <w:t>2</w:t>
      </w:r>
      <w:r>
        <w:rPr/>
        <w:fldChar w:fldCharType="end" w:fldLock="0"/>
      </w:r>
    </w:p>
    <w:p>
      <w:pPr>
        <w:pStyle w:val="TOC 2 parent"/>
        <w:numPr>
          <w:ilvl w:val="1"/>
          <w:numId w:val="1"/>
        </w:numPr>
        <w:rPr>
          <w:lang w:val="en-US"/>
        </w:rPr>
      </w:pPr>
      <w:r>
        <w:rPr>
          <w:rtl w:val="0"/>
          <w:lang w:val="en-US"/>
        </w:rPr>
        <w:t>Obligations of the Company</w:t>
        <w:tab/>
      </w:r>
      <w:r>
        <w:rPr/>
        <w:fldChar w:fldCharType="begin" w:fldLock="0"/>
      </w:r>
      <w:r>
        <w:instrText xml:space="preserve"> PAGEREF _Toc4 \h </w:instrText>
      </w:r>
      <w:r>
        <w:rPr/>
        <w:fldChar w:fldCharType="separate" w:fldLock="0"/>
      </w:r>
      <w:r>
        <w:rPr>
          <w:rtl w:val="0"/>
          <w:lang w:val="en-US"/>
        </w:rPr>
        <w:t>2</w:t>
      </w:r>
      <w:r>
        <w:rPr/>
        <w:fldChar w:fldCharType="end" w:fldLock="0"/>
      </w:r>
    </w:p>
    <w:p>
      <w:pPr>
        <w:pStyle w:val="TOC 2 parent"/>
        <w:numPr>
          <w:ilvl w:val="1"/>
          <w:numId w:val="1"/>
        </w:numPr>
        <w:rPr>
          <w:lang w:val="en-US"/>
        </w:rPr>
      </w:pPr>
      <w:r>
        <w:rPr>
          <w:rtl w:val="0"/>
          <w:lang w:val="en-US"/>
        </w:rPr>
        <w:t>Obligations of the Subscriber</w:t>
        <w:tab/>
      </w:r>
      <w:r>
        <w:rPr/>
        <w:fldChar w:fldCharType="begin" w:fldLock="0"/>
      </w:r>
      <w:r>
        <w:instrText xml:space="preserve"> PAGEREF _Toc5 \h </w:instrText>
      </w:r>
      <w:r>
        <w:rPr/>
        <w:fldChar w:fldCharType="separate" w:fldLock="0"/>
      </w:r>
      <w:r>
        <w:rPr>
          <w:rtl w:val="0"/>
          <w:lang w:val="en-US"/>
        </w:rPr>
        <w:t>2</w:t>
      </w:r>
      <w:r>
        <w:rPr/>
        <w:fldChar w:fldCharType="end" w:fldLock="0"/>
      </w:r>
    </w:p>
    <w:p>
      <w:pPr>
        <w:pStyle w:val="TOC 1 parent"/>
        <w:numPr>
          <w:ilvl w:val="0"/>
          <w:numId w:val="1"/>
        </w:numPr>
        <w:rPr>
          <w:lang w:val="en-US"/>
        </w:rPr>
      </w:pPr>
      <w:r>
        <w:rPr>
          <w:rtl w:val="0"/>
          <w:lang w:val="en-US"/>
        </w:rPr>
        <w:t>Obligations following Subscription Completion</w:t>
        <w:tab/>
      </w:r>
      <w:r>
        <w:rPr/>
        <w:fldChar w:fldCharType="begin" w:fldLock="0"/>
      </w:r>
      <w:r>
        <w:instrText xml:space="preserve"> PAGEREF _Toc6 \h </w:instrText>
      </w:r>
      <w:r>
        <w:rPr/>
        <w:fldChar w:fldCharType="separate" w:fldLock="0"/>
      </w:r>
      <w:r>
        <w:rPr>
          <w:rtl w:val="0"/>
          <w:lang w:val="en-US"/>
        </w:rPr>
        <w:t>3</w:t>
      </w:r>
      <w:r>
        <w:rPr/>
        <w:fldChar w:fldCharType="end" w:fldLock="0"/>
      </w:r>
    </w:p>
    <w:p>
      <w:pPr>
        <w:pStyle w:val="TOC 2 parent"/>
        <w:numPr>
          <w:ilvl w:val="1"/>
          <w:numId w:val="1"/>
        </w:numPr>
        <w:rPr>
          <w:lang w:val="en-US"/>
        </w:rPr>
      </w:pPr>
      <w:r>
        <w:rPr>
          <w:rtl w:val="0"/>
          <w:lang w:val="en-US"/>
        </w:rPr>
        <w:t>Obligations of the Company</w:t>
        <w:tab/>
      </w:r>
      <w:r>
        <w:rPr/>
        <w:fldChar w:fldCharType="begin" w:fldLock="0"/>
      </w:r>
      <w:r>
        <w:instrText xml:space="preserve"> PAGEREF _Toc7 \h </w:instrText>
      </w:r>
      <w:r>
        <w:rPr/>
        <w:fldChar w:fldCharType="separate" w:fldLock="0"/>
      </w:r>
      <w:r>
        <w:rPr>
          <w:rtl w:val="0"/>
          <w:lang w:val="en-US"/>
        </w:rPr>
        <w:t>3</w:t>
      </w:r>
      <w:r>
        <w:rPr/>
        <w:fldChar w:fldCharType="end" w:fldLock="0"/>
      </w:r>
    </w:p>
    <w:p>
      <w:pPr>
        <w:pStyle w:val="TOC 1 parent"/>
        <w:numPr>
          <w:ilvl w:val="0"/>
          <w:numId w:val="1"/>
        </w:numPr>
        <w:rPr>
          <w:lang w:val="en-US"/>
        </w:rPr>
      </w:pPr>
      <w:r>
        <w:rPr>
          <w:rtl w:val="0"/>
          <w:lang w:val="en-US"/>
        </w:rPr>
        <w:t>Warranties</w:t>
        <w:tab/>
      </w:r>
      <w:r>
        <w:rPr/>
        <w:fldChar w:fldCharType="begin" w:fldLock="0"/>
      </w:r>
      <w:r>
        <w:instrText xml:space="preserve"> PAGEREF _Toc8 \h </w:instrText>
      </w:r>
      <w:r>
        <w:rPr/>
        <w:fldChar w:fldCharType="separate" w:fldLock="0"/>
      </w:r>
      <w:r>
        <w:rPr>
          <w:rtl w:val="0"/>
          <w:lang w:val="en-US"/>
        </w:rPr>
        <w:t>3</w:t>
      </w:r>
      <w:r>
        <w:rPr/>
        <w:fldChar w:fldCharType="end" w:fldLock="0"/>
      </w:r>
    </w:p>
    <w:p>
      <w:pPr>
        <w:pStyle w:val="TOC 2 parent"/>
        <w:numPr>
          <w:ilvl w:val="1"/>
          <w:numId w:val="1"/>
        </w:numPr>
        <w:rPr>
          <w:lang w:val="en-US"/>
        </w:rPr>
      </w:pPr>
      <w:r>
        <w:rPr>
          <w:rtl w:val="0"/>
          <w:lang w:val="en-US"/>
        </w:rPr>
        <w:t>General</w:t>
        <w:tab/>
      </w:r>
      <w:r>
        <w:rPr/>
        <w:fldChar w:fldCharType="begin" w:fldLock="0"/>
      </w:r>
      <w:r>
        <w:instrText xml:space="preserve"> PAGEREF _Toc9 \h </w:instrText>
      </w:r>
      <w:r>
        <w:rPr/>
        <w:fldChar w:fldCharType="separate" w:fldLock="0"/>
      </w:r>
      <w:r>
        <w:rPr>
          <w:rtl w:val="0"/>
          <w:lang w:val="en-US"/>
        </w:rPr>
        <w:t>3</w:t>
      </w:r>
      <w:r>
        <w:rPr/>
        <w:fldChar w:fldCharType="end" w:fldLock="0"/>
      </w:r>
    </w:p>
    <w:p>
      <w:pPr>
        <w:pStyle w:val="TOC 2 parent"/>
        <w:numPr>
          <w:ilvl w:val="1"/>
          <w:numId w:val="1"/>
        </w:numPr>
        <w:rPr>
          <w:lang w:val="en-US"/>
        </w:rPr>
      </w:pPr>
      <w:r>
        <w:rPr>
          <w:rtl w:val="0"/>
          <w:lang w:val="en-US"/>
        </w:rPr>
        <w:t>Company Warranties</w:t>
        <w:tab/>
      </w:r>
      <w:r>
        <w:rPr/>
        <w:fldChar w:fldCharType="begin" w:fldLock="0"/>
      </w:r>
      <w:r>
        <w:instrText xml:space="preserve"> PAGEREF _Toc10 \h </w:instrText>
      </w:r>
      <w:r>
        <w:rPr/>
        <w:fldChar w:fldCharType="separate" w:fldLock="0"/>
      </w:r>
      <w:r>
        <w:rPr>
          <w:rtl w:val="0"/>
          <w:lang w:val="en-US"/>
        </w:rPr>
        <w:t>3</w:t>
      </w:r>
      <w:r>
        <w:rPr/>
        <w:fldChar w:fldCharType="end" w:fldLock="0"/>
      </w:r>
    </w:p>
    <w:p>
      <w:pPr>
        <w:pStyle w:val="TOC 1 parent"/>
        <w:numPr>
          <w:ilvl w:val="0"/>
          <w:numId w:val="2"/>
        </w:numPr>
        <w:rPr>
          <w:lang w:val="en-US"/>
        </w:rPr>
      </w:pPr>
      <w:r>
        <w:rPr>
          <w:rtl w:val="0"/>
          <w:lang w:val="en-US"/>
        </w:rPr>
        <w:t>General</w:t>
        <w:tab/>
      </w:r>
      <w:r>
        <w:rPr/>
        <w:fldChar w:fldCharType="begin" w:fldLock="0"/>
      </w:r>
      <w:r>
        <w:instrText xml:space="preserve"> PAGEREF _Toc11 \h </w:instrText>
      </w:r>
      <w:r>
        <w:rPr/>
        <w:fldChar w:fldCharType="separate" w:fldLock="0"/>
      </w:r>
      <w:r>
        <w:rPr>
          <w:rtl w:val="0"/>
          <w:lang w:val="en-US"/>
        </w:rPr>
        <w:t>4</w:t>
      </w:r>
      <w:r>
        <w:rPr/>
        <w:fldChar w:fldCharType="end" w:fldLock="0"/>
      </w:r>
    </w:p>
    <w:p>
      <w:pPr>
        <w:pStyle w:val="TOC 1 parent"/>
        <w:tabs>
          <w:tab w:val="right" w:pos="9331" w:leader="dot"/>
          <w:tab w:val="clear" w:pos="9356"/>
        </w:tabs>
      </w:pPr>
      <w:r>
        <w:rPr>
          <w:rtl w:val="0"/>
          <w:lang w:val="en-US"/>
        </w:rPr>
        <w:t>Schedule 1 - General</w:t>
        <w:tab/>
      </w:r>
      <w:r>
        <w:rPr/>
        <w:fldChar w:fldCharType="begin" w:fldLock="0"/>
      </w:r>
      <w:r>
        <w:instrText xml:space="preserve"> PAGEREF _Toc12 \h </w:instrText>
      </w:r>
      <w:r>
        <w:rPr/>
        <w:fldChar w:fldCharType="separate" w:fldLock="0"/>
      </w:r>
      <w:r>
        <w:rPr>
          <w:rtl w:val="0"/>
          <w:lang w:val="en-US"/>
        </w:rPr>
        <w:t>4</w:t>
      </w:r>
      <w:r>
        <w:rPr/>
        <w:fldChar w:fldCharType="end" w:fldLock="0"/>
      </w:r>
    </w:p>
    <w:p>
      <w:pPr>
        <w:pStyle w:val="TOC 1 parent"/>
        <w:numPr>
          <w:ilvl w:val="0"/>
          <w:numId w:val="1"/>
        </w:numPr>
        <w:rPr>
          <w:lang w:val="en-US"/>
        </w:rPr>
      </w:pPr>
      <w:r>
        <w:rPr>
          <w:rtl w:val="0"/>
          <w:lang w:val="en-US"/>
        </w:rPr>
        <w:t>Interpretation</w:t>
        <w:tab/>
      </w:r>
      <w:r>
        <w:rPr/>
        <w:fldChar w:fldCharType="begin" w:fldLock="0"/>
      </w:r>
      <w:r>
        <w:instrText xml:space="preserve"> PAGEREF _Toc13 \h </w:instrText>
      </w:r>
      <w:r>
        <w:rPr/>
        <w:fldChar w:fldCharType="separate" w:fldLock="0"/>
      </w:r>
      <w:r>
        <w:rPr>
          <w:rtl w:val="0"/>
          <w:lang w:val="en-US"/>
        </w:rPr>
        <w:t>5</w:t>
      </w:r>
      <w:r>
        <w:rPr/>
        <w:fldChar w:fldCharType="end" w:fldLock="0"/>
      </w:r>
    </w:p>
    <w:p>
      <w:pPr>
        <w:pStyle w:val="TOC 1 parent"/>
        <w:tabs>
          <w:tab w:val="left" w:pos="546"/>
          <w:tab w:val="right" w:pos="9331" w:leader="dot"/>
          <w:tab w:val="clear" w:pos="9356"/>
        </w:tabs>
      </w:pPr>
      <w:r>
        <w:rPr>
          <w:rtl w:val="0"/>
          <w:lang w:val="en-US"/>
        </w:rPr>
        <w:t>Governing law and jurisdiction</w:t>
        <w:tab/>
      </w:r>
      <w:r>
        <w:rPr/>
        <w:fldChar w:fldCharType="begin" w:fldLock="0"/>
      </w:r>
      <w:r>
        <w:instrText xml:space="preserve"> PAGEREF _Toc14 \h </w:instrText>
      </w:r>
      <w:r>
        <w:rPr/>
        <w:fldChar w:fldCharType="separate" w:fldLock="0"/>
      </w:r>
      <w:r>
        <w:rPr>
          <w:rtl w:val="0"/>
          <w:lang w:val="en-US"/>
        </w:rPr>
        <w:t>6</w:t>
      </w:r>
      <w:r>
        <w:rPr/>
        <w:fldChar w:fldCharType="end" w:fldLock="0"/>
      </w:r>
    </w:p>
    <w:p>
      <w:pPr>
        <w:pStyle w:val="TOC 1 parent"/>
        <w:numPr>
          <w:ilvl w:val="0"/>
          <w:numId w:val="1"/>
        </w:numPr>
        <w:rPr>
          <w:lang w:val="en-US"/>
        </w:rPr>
      </w:pPr>
      <w:r>
        <w:rPr>
          <w:rtl w:val="0"/>
          <w:lang w:val="en-US"/>
        </w:rPr>
        <w:t>Further acts</w:t>
        <w:tab/>
      </w:r>
      <w:r>
        <w:rPr/>
        <w:fldChar w:fldCharType="begin" w:fldLock="0"/>
      </w:r>
      <w:r>
        <w:instrText xml:space="preserve"> PAGEREF _Toc15 \h </w:instrText>
      </w:r>
      <w:r>
        <w:rPr/>
        <w:fldChar w:fldCharType="separate" w:fldLock="0"/>
      </w:r>
      <w:r>
        <w:rPr>
          <w:rtl w:val="0"/>
          <w:lang w:val="en-US"/>
        </w:rPr>
        <w:t>6</w:t>
      </w:r>
      <w:r>
        <w:rPr/>
        <w:fldChar w:fldCharType="end" w:fldLock="0"/>
      </w:r>
    </w:p>
    <w:p>
      <w:pPr>
        <w:pStyle w:val="TOC 1 parent"/>
        <w:numPr>
          <w:ilvl w:val="0"/>
          <w:numId w:val="1"/>
        </w:numPr>
        <w:rPr>
          <w:lang w:val="en-US"/>
        </w:rPr>
      </w:pPr>
      <w:r>
        <w:rPr>
          <w:rtl w:val="0"/>
          <w:lang w:val="en-US"/>
        </w:rPr>
        <w:t>Notices</w:t>
        <w:tab/>
      </w:r>
      <w:r>
        <w:rPr/>
        <w:fldChar w:fldCharType="begin" w:fldLock="0"/>
      </w:r>
      <w:r>
        <w:instrText xml:space="preserve"> PAGEREF _Toc16 \h </w:instrText>
      </w:r>
      <w:r>
        <w:rPr/>
        <w:fldChar w:fldCharType="separate" w:fldLock="0"/>
      </w:r>
      <w:r>
        <w:rPr>
          <w:rtl w:val="0"/>
          <w:lang w:val="en-US"/>
        </w:rPr>
        <w:t>6</w:t>
      </w:r>
      <w:r>
        <w:rPr/>
        <w:fldChar w:fldCharType="end" w:fldLock="0"/>
      </w:r>
    </w:p>
    <w:p>
      <w:pPr>
        <w:pStyle w:val="TOC 1 parent"/>
        <w:numPr>
          <w:ilvl w:val="0"/>
          <w:numId w:val="1"/>
        </w:numPr>
        <w:rPr>
          <w:lang w:val="en-US"/>
        </w:rPr>
      </w:pPr>
      <w:r>
        <w:rPr>
          <w:rtl w:val="0"/>
          <w:lang w:val="en-US"/>
        </w:rPr>
        <w:t>Counterparts</w:t>
        <w:tab/>
      </w:r>
      <w:r>
        <w:rPr/>
        <w:fldChar w:fldCharType="begin" w:fldLock="0"/>
      </w:r>
      <w:r>
        <w:instrText xml:space="preserve"> PAGEREF _Toc17 \h </w:instrText>
      </w:r>
      <w:r>
        <w:rPr/>
        <w:fldChar w:fldCharType="separate" w:fldLock="0"/>
      </w:r>
      <w:r>
        <w:rPr>
          <w:rtl w:val="0"/>
          <w:lang w:val="en-US"/>
        </w:rPr>
        <w:t>8</w:t>
      </w:r>
      <w:r>
        <w:rPr/>
        <w:fldChar w:fldCharType="end" w:fldLock="0"/>
      </w:r>
    </w:p>
    <w:p>
      <w:pPr>
        <w:pStyle w:val="TOC 1 parent"/>
        <w:numPr>
          <w:ilvl w:val="0"/>
          <w:numId w:val="1"/>
        </w:numPr>
        <w:rPr>
          <w:lang w:val="en-US"/>
        </w:rPr>
      </w:pPr>
      <w:r>
        <w:rPr>
          <w:rtl w:val="0"/>
          <w:lang w:val="en-US"/>
        </w:rPr>
        <w:t>Amendments</w:t>
        <w:tab/>
      </w:r>
      <w:r>
        <w:rPr/>
        <w:fldChar w:fldCharType="begin" w:fldLock="0"/>
      </w:r>
      <w:r>
        <w:instrText xml:space="preserve"> PAGEREF _Toc18 \h </w:instrText>
      </w:r>
      <w:r>
        <w:rPr/>
        <w:fldChar w:fldCharType="separate" w:fldLock="0"/>
      </w:r>
      <w:r>
        <w:rPr>
          <w:rtl w:val="0"/>
          <w:lang w:val="en-US"/>
        </w:rPr>
        <w:t>8</w:t>
      </w:r>
      <w:r>
        <w:rPr/>
        <w:fldChar w:fldCharType="end" w:fldLock="0"/>
      </w:r>
    </w:p>
    <w:p>
      <w:pPr>
        <w:pStyle w:val="TOC 1 parent"/>
        <w:numPr>
          <w:ilvl w:val="0"/>
          <w:numId w:val="1"/>
        </w:numPr>
        <w:rPr>
          <w:lang w:val="en-US"/>
        </w:rPr>
      </w:pPr>
      <w:r>
        <w:rPr>
          <w:rtl w:val="0"/>
          <w:lang w:val="en-US"/>
        </w:rPr>
        <w:t>Confidentiality</w:t>
        <w:tab/>
      </w:r>
      <w:r>
        <w:rPr/>
        <w:fldChar w:fldCharType="begin" w:fldLock="0"/>
      </w:r>
      <w:r>
        <w:instrText xml:space="preserve"> PAGEREF _Toc19 \h </w:instrText>
      </w:r>
      <w:r>
        <w:rPr/>
        <w:fldChar w:fldCharType="separate" w:fldLock="0"/>
      </w:r>
      <w:r>
        <w:rPr>
          <w:rtl w:val="0"/>
          <w:lang w:val="en-US"/>
        </w:rPr>
        <w:t>8</w:t>
      </w:r>
      <w:r>
        <w:rPr/>
        <w:fldChar w:fldCharType="end" w:fldLock="0"/>
      </w:r>
    </w:p>
    <w:p>
      <w:pPr>
        <w:pStyle w:val="TOC 1 parent"/>
        <w:numPr>
          <w:ilvl w:val="0"/>
          <w:numId w:val="1"/>
        </w:numPr>
        <w:rPr>
          <w:lang w:val="en-US"/>
        </w:rPr>
      </w:pPr>
      <w:r>
        <w:rPr>
          <w:rtl w:val="0"/>
          <w:lang w:val="en-US"/>
        </w:rPr>
        <w:t>Merger</w:t>
        <w:tab/>
      </w:r>
      <w:r>
        <w:rPr/>
        <w:fldChar w:fldCharType="begin" w:fldLock="0"/>
      </w:r>
      <w:r>
        <w:instrText xml:space="preserve"> PAGEREF _Toc20 \h </w:instrText>
      </w:r>
      <w:r>
        <w:rPr/>
        <w:fldChar w:fldCharType="separate" w:fldLock="0"/>
      </w:r>
      <w:r>
        <w:rPr>
          <w:rtl w:val="0"/>
          <w:lang w:val="en-US"/>
        </w:rPr>
        <w:t>9</w:t>
      </w:r>
      <w:r>
        <w:rPr/>
        <w:fldChar w:fldCharType="end" w:fldLock="0"/>
      </w:r>
    </w:p>
    <w:p>
      <w:pPr>
        <w:pStyle w:val="TOC 1 parent"/>
        <w:numPr>
          <w:ilvl w:val="0"/>
          <w:numId w:val="1"/>
        </w:numPr>
        <w:rPr>
          <w:lang w:val="en-US"/>
        </w:rPr>
      </w:pPr>
      <w:r>
        <w:rPr>
          <w:rtl w:val="0"/>
          <w:lang w:val="en-US"/>
        </w:rPr>
        <w:t>Assignments</w:t>
        <w:tab/>
      </w:r>
      <w:r>
        <w:rPr/>
        <w:fldChar w:fldCharType="begin" w:fldLock="0"/>
      </w:r>
      <w:r>
        <w:instrText xml:space="preserve"> PAGEREF _Toc21 \h </w:instrText>
      </w:r>
      <w:r>
        <w:rPr/>
        <w:fldChar w:fldCharType="separate" w:fldLock="0"/>
      </w:r>
      <w:r>
        <w:rPr>
          <w:rtl w:val="0"/>
          <w:lang w:val="en-US"/>
        </w:rPr>
        <w:t>9</w:t>
      </w:r>
      <w:r>
        <w:rPr/>
        <w:fldChar w:fldCharType="end" w:fldLock="0"/>
      </w:r>
    </w:p>
    <w:p>
      <w:pPr>
        <w:pStyle w:val="TOC 1 parent"/>
        <w:numPr>
          <w:ilvl w:val="0"/>
          <w:numId w:val="1"/>
        </w:numPr>
        <w:rPr>
          <w:lang w:val="en-US"/>
        </w:rPr>
      </w:pPr>
      <w:r>
        <w:rPr>
          <w:rtl w:val="0"/>
          <w:lang w:val="en-US"/>
        </w:rPr>
        <w:t>Waiver</w:t>
        <w:tab/>
      </w:r>
      <w:r>
        <w:rPr/>
        <w:fldChar w:fldCharType="begin" w:fldLock="0"/>
      </w:r>
      <w:r>
        <w:instrText xml:space="preserve"> PAGEREF _Toc22 \h </w:instrText>
      </w:r>
      <w:r>
        <w:rPr/>
        <w:fldChar w:fldCharType="separate" w:fldLock="0"/>
      </w:r>
      <w:r>
        <w:rPr>
          <w:rtl w:val="0"/>
          <w:lang w:val="en-US"/>
        </w:rPr>
        <w:t>9</w:t>
      </w:r>
      <w:r>
        <w:rPr/>
        <w:fldChar w:fldCharType="end" w:fldLock="0"/>
      </w:r>
    </w:p>
    <w:p>
      <w:pPr>
        <w:pStyle w:val="TOC 1 parent"/>
        <w:numPr>
          <w:ilvl w:val="0"/>
          <w:numId w:val="1"/>
        </w:numPr>
        <w:rPr>
          <w:lang w:val="en-US"/>
        </w:rPr>
      </w:pPr>
      <w:r>
        <w:rPr>
          <w:rtl w:val="0"/>
          <w:lang w:val="en-US"/>
        </w:rPr>
        <w:t>Expenses</w:t>
        <w:tab/>
      </w:r>
      <w:r>
        <w:rPr/>
        <w:fldChar w:fldCharType="begin" w:fldLock="0"/>
      </w:r>
      <w:r>
        <w:instrText xml:space="preserve"> PAGEREF _Toc23 \h </w:instrText>
      </w:r>
      <w:r>
        <w:rPr/>
        <w:fldChar w:fldCharType="separate" w:fldLock="0"/>
      </w:r>
      <w:r>
        <w:rPr>
          <w:rtl w:val="0"/>
          <w:lang w:val="en-US"/>
        </w:rPr>
        <w:t>9</w:t>
      </w:r>
      <w:r>
        <w:rPr/>
        <w:fldChar w:fldCharType="end" w:fldLock="0"/>
      </w:r>
    </w:p>
    <w:p>
      <w:pPr>
        <w:pStyle w:val="TOC 1 parent"/>
        <w:numPr>
          <w:ilvl w:val="0"/>
          <w:numId w:val="1"/>
        </w:numPr>
        <w:rPr>
          <w:lang w:val="en-US"/>
        </w:rPr>
      </w:pPr>
      <w:r>
        <w:rPr>
          <w:rtl w:val="0"/>
          <w:lang w:val="en-US"/>
        </w:rPr>
        <w:t>No representation or reliance</w:t>
        <w:tab/>
      </w:r>
      <w:r>
        <w:rPr/>
        <w:fldChar w:fldCharType="begin" w:fldLock="0"/>
      </w:r>
      <w:r>
        <w:instrText xml:space="preserve"> PAGEREF _Toc24 \h </w:instrText>
      </w:r>
      <w:r>
        <w:rPr/>
        <w:fldChar w:fldCharType="separate" w:fldLock="0"/>
      </w:r>
      <w:r>
        <w:rPr>
          <w:rtl w:val="0"/>
          <w:lang w:val="en-US"/>
        </w:rPr>
        <w:t>10</w:t>
      </w:r>
      <w:r>
        <w:rPr/>
        <w:fldChar w:fldCharType="end" w:fldLock="0"/>
      </w:r>
    </w:p>
    <w:p>
      <w:pPr>
        <w:pStyle w:val="TOC 1 parent"/>
        <w:numPr>
          <w:ilvl w:val="0"/>
          <w:numId w:val="1"/>
        </w:numPr>
        <w:rPr>
          <w:lang w:val="en-US"/>
        </w:rPr>
      </w:pPr>
      <w:r>
        <w:rPr>
          <w:rtl w:val="0"/>
          <w:lang w:val="en-US"/>
        </w:rPr>
        <w:t>Entire Agreement</w:t>
        <w:tab/>
      </w:r>
      <w:r>
        <w:rPr/>
        <w:fldChar w:fldCharType="begin" w:fldLock="0"/>
      </w:r>
      <w:r>
        <w:instrText xml:space="preserve"> PAGEREF _Toc25 \h </w:instrText>
      </w:r>
      <w:r>
        <w:rPr/>
        <w:fldChar w:fldCharType="separate" w:fldLock="0"/>
      </w:r>
      <w:r>
        <w:rPr>
          <w:rtl w:val="0"/>
          <w:lang w:val="en-US"/>
        </w:rPr>
        <w:t>10</w:t>
      </w:r>
      <w:r>
        <w:rPr/>
        <w:fldChar w:fldCharType="end" w:fldLock="0"/>
      </w:r>
    </w:p>
    <w:p>
      <w:pPr>
        <w:pStyle w:val="Free Form"/>
        <w:bidi w:val="0"/>
        <w:sectPr>
          <w:headerReference w:type="default" r:id="rId6"/>
          <w:headerReference w:type="first" r:id="rId7"/>
          <w:footerReference w:type="default" r:id="rId8"/>
          <w:footerReference w:type="first" r:id="rId9"/>
          <w:pgSz w:w="11900" w:h="16840" w:orient="portrait"/>
          <w:pgMar w:top="1138" w:right="1138" w:bottom="1138" w:left="1411" w:header="1077" w:footer="562"/>
          <w:pgNumType w:start="1"/>
          <w:titlePg w:val="1"/>
          <w:bidi w:val="0"/>
        </w:sectPr>
      </w:pPr>
      <w:r>
        <w:rPr>
          <w:rFonts w:ascii="Helvetica Neue" w:cs="Helvetica Neue" w:hAnsi="Helvetica Neue" w:eastAsia="Helvetica Neue"/>
          <w:color w:val="000000"/>
          <w:sz w:val="28"/>
          <w:szCs w:val="28"/>
        </w:rPr>
        <w:fldChar w:fldCharType="end" w:fldLock="0"/>
      </w:r>
    </w:p>
    <w:p>
      <w:pPr>
        <w:pStyle w:val="Subtitle"/>
        <w:bidi w:val="0"/>
      </w:pPr>
      <w:r>
        <w:rPr>
          <w:rFonts w:ascii="Helvetica Neue" w:hAnsi="Helvetica Neue"/>
          <w:sz w:val="28"/>
          <w:szCs w:val="28"/>
          <w:rtl w:val="0"/>
          <w:lang w:val="en-US"/>
        </w:rPr>
        <w:t>Subscription Agreement made on November 01, 2016:</w:t>
      </w:r>
    </w:p>
    <w:p>
      <w:pPr>
        <w:pStyle w:val="Normal.0"/>
        <w:tabs>
          <w:tab w:val="left" w:pos="1928"/>
          <w:tab w:val="left" w:pos="2892"/>
          <w:tab w:val="left" w:pos="3856"/>
          <w:tab w:val="left" w:pos="4820"/>
          <w:tab w:val="left" w:pos="5784"/>
          <w:tab w:val="left" w:pos="6748"/>
          <w:tab w:val="left" w:pos="7712"/>
          <w:tab w:val="left" w:pos="8676"/>
        </w:tabs>
        <w:ind w:left="1928" w:hanging="1928"/>
      </w:pPr>
      <w:r>
        <w:rPr>
          <w:rFonts w:ascii="Helvetica Neue" w:hAnsi="Helvetica Neue"/>
          <w:b w:val="1"/>
          <w:bCs w:val="1"/>
          <w:color w:val="000000"/>
          <w:sz w:val="24"/>
          <w:szCs w:val="24"/>
          <w:rtl w:val="0"/>
          <w:lang w:val="en-US"/>
        </w:rPr>
        <w:t>Parties</w:t>
        <w:tab/>
        <w:t>PAYYAP LLC (US EIN: 45-2502029),</w:t>
      </w:r>
      <w:r>
        <w:rPr>
          <w:rFonts w:ascii="Helvetica Neue" w:hAnsi="Helvetica Neue"/>
          <w:color w:val="000000"/>
          <w:sz w:val="24"/>
          <w:szCs w:val="24"/>
          <w:rtl w:val="0"/>
          <w:lang w:val="en-US"/>
        </w:rPr>
        <w:t xml:space="preserve"> of 375 Park Avenue, Suite 2607; New York City, NY 10152; USA.</w:t>
      </w:r>
    </w:p>
    <w:p>
      <w:pPr>
        <w:pStyle w:val="Normal.0"/>
        <w:tabs>
          <w:tab w:val="left" w:pos="1928"/>
          <w:tab w:val="left" w:pos="2892"/>
          <w:tab w:val="left" w:pos="3856"/>
          <w:tab w:val="left" w:pos="4820"/>
          <w:tab w:val="left" w:pos="5784"/>
          <w:tab w:val="left" w:pos="6748"/>
          <w:tab w:val="left" w:pos="7712"/>
          <w:tab w:val="left" w:pos="8676"/>
        </w:tabs>
        <w:ind w:left="3856" w:hanging="1928"/>
      </w:pPr>
      <w:r>
        <w:rPr>
          <w:rFonts w:ascii="Helvetica Neue" w:hAnsi="Helvetica Neue"/>
          <w:color w:val="000000"/>
          <w:sz w:val="24"/>
          <w:szCs w:val="24"/>
          <w:rtl w:val="0"/>
          <w:lang w:val="en-US"/>
        </w:rPr>
        <w:t>(</w:t>
      </w:r>
      <w:r>
        <w:rPr>
          <w:rFonts w:ascii="Helvetica Neue" w:hAnsi="Helvetica Neue"/>
          <w:b w:val="1"/>
          <w:bCs w:val="1"/>
          <w:color w:val="000000"/>
          <w:sz w:val="24"/>
          <w:szCs w:val="24"/>
          <w:rtl w:val="0"/>
          <w:lang w:val="en-US"/>
        </w:rPr>
        <w:t>"Company"</w:t>
      </w:r>
      <w:r>
        <w:rPr>
          <w:rFonts w:ascii="Helvetica Neue" w:hAnsi="Helvetica Neue"/>
          <w:color w:val="000000"/>
          <w:sz w:val="24"/>
          <w:szCs w:val="24"/>
          <w:rtl w:val="0"/>
          <w:lang w:val="en-US"/>
        </w:rPr>
        <w:t>)</w:t>
      </w:r>
    </w:p>
    <w:p>
      <w:pPr>
        <w:pStyle w:val="Normal.0"/>
        <w:tabs>
          <w:tab w:val="left" w:pos="1928"/>
          <w:tab w:val="left" w:pos="2892"/>
          <w:tab w:val="left" w:pos="3856"/>
          <w:tab w:val="left" w:pos="4820"/>
          <w:tab w:val="left" w:pos="5784"/>
          <w:tab w:val="left" w:pos="6748"/>
          <w:tab w:val="left" w:pos="7712"/>
          <w:tab w:val="left" w:pos="8676"/>
        </w:tabs>
        <w:ind w:left="1924" w:firstLine="4"/>
      </w:pPr>
      <w:r>
        <w:rPr>
          <w:rFonts w:ascii="Helvetica Neue" w:hAnsi="Helvetica Neue"/>
          <w:b w:val="1"/>
          <w:bCs w:val="1"/>
          <w:color w:val="000000"/>
          <w:sz w:val="24"/>
          <w:szCs w:val="24"/>
          <w:rtl w:val="0"/>
          <w:lang w:val="en-US"/>
        </w:rPr>
        <w:t>VERGENT CAPITAL LLC</w:t>
      </w:r>
      <w:r>
        <w:rPr>
          <w:rFonts w:ascii="Helvetica Neue" w:hAnsi="Helvetica Neue"/>
          <w:color w:val="000000"/>
          <w:sz w:val="24"/>
          <w:szCs w:val="24"/>
          <w:rtl w:val="0"/>
          <w:lang w:val="en-US"/>
        </w:rPr>
        <w:t xml:space="preserve"> of </w:t>
      </w:r>
      <w:r>
        <w:rPr>
          <w:rFonts w:ascii="Helvetica Neue" w:hAnsi="Helvetica Neue"/>
          <w:sz w:val="24"/>
          <w:szCs w:val="24"/>
          <w:rtl w:val="0"/>
          <w:lang w:val="en-US"/>
        </w:rPr>
        <w:t>______________________________</w:t>
      </w:r>
      <w:r>
        <w:rPr>
          <w:rFonts w:ascii="Helvetica Neue" w:hAnsi="Helvetica Neue"/>
          <w:sz w:val="24"/>
          <w:szCs w:val="24"/>
          <w:rtl w:val="0"/>
          <w:lang w:val="en-US"/>
        </w:rPr>
        <w:t xml:space="preserve">; </w:t>
      </w:r>
      <w:r>
        <w:rPr>
          <w:rFonts w:ascii="Helvetica Neue" w:hAnsi="Helvetica Neue"/>
          <w:sz w:val="24"/>
          <w:szCs w:val="24"/>
          <w:rtl w:val="0"/>
          <w:lang w:val="en-US"/>
        </w:rPr>
        <w:t>USA</w:t>
      </w:r>
      <w:r>
        <w:rPr>
          <w:rFonts w:ascii="Helvetica Neue" w:hAnsi="Helvetica Neue"/>
          <w:sz w:val="24"/>
          <w:szCs w:val="24"/>
          <w:rtl w:val="0"/>
          <w:lang w:val="en-US"/>
        </w:rPr>
        <w:t>.</w:t>
      </w:r>
    </w:p>
    <w:p>
      <w:pPr>
        <w:pStyle w:val="Normal.0"/>
        <w:tabs>
          <w:tab w:val="left" w:pos="1928"/>
          <w:tab w:val="left" w:pos="2892"/>
          <w:tab w:val="left" w:pos="3856"/>
          <w:tab w:val="left" w:pos="4820"/>
          <w:tab w:val="left" w:pos="5784"/>
          <w:tab w:val="left" w:pos="6748"/>
          <w:tab w:val="left" w:pos="7712"/>
          <w:tab w:val="left" w:pos="8676"/>
        </w:tabs>
        <w:ind w:left="3856" w:hanging="1928"/>
      </w:pPr>
      <w:r>
        <w:rPr>
          <w:rFonts w:ascii="Helvetica Neue" w:hAnsi="Helvetica Neue"/>
          <w:color w:val="000000"/>
          <w:sz w:val="24"/>
          <w:szCs w:val="24"/>
          <w:rtl w:val="0"/>
          <w:lang w:val="en-US"/>
        </w:rPr>
        <w:t xml:space="preserve"> (</w:t>
      </w:r>
      <w:r>
        <w:rPr>
          <w:rFonts w:ascii="Helvetica Neue" w:hAnsi="Helvetica Neue"/>
          <w:b w:val="1"/>
          <w:bCs w:val="1"/>
          <w:color w:val="000000"/>
          <w:sz w:val="24"/>
          <w:szCs w:val="24"/>
          <w:rtl w:val="0"/>
          <w:lang w:val="en-US"/>
        </w:rPr>
        <w:t>"Subscriber"</w:t>
      </w:r>
      <w:r>
        <w:rPr>
          <w:rFonts w:ascii="Helvetica Neue" w:hAnsi="Helvetica Neue"/>
          <w:color w:val="000000"/>
          <w:sz w:val="24"/>
          <w:szCs w:val="24"/>
          <w:rtl w:val="0"/>
          <w:lang w:val="en-US"/>
        </w:rPr>
        <w:t>)</w:t>
      </w:r>
    </w:p>
    <w:p>
      <w:pPr>
        <w:pStyle w:val="Subtitle"/>
        <w:bidi w:val="0"/>
      </w:pPr>
      <w:r>
        <w:rPr>
          <w:rFonts w:ascii="Helvetica Neue" w:hAnsi="Helvetica Neue"/>
          <w:color w:val="000000"/>
          <w:sz w:val="28"/>
          <w:szCs w:val="28"/>
          <w:rtl w:val="0"/>
          <w:lang w:val="en-US"/>
        </w:rPr>
        <w:t>Background</w:t>
      </w:r>
    </w:p>
    <w:p>
      <w:pPr>
        <w:pStyle w:val="Recital"/>
        <w:tabs>
          <w:tab w:val="left" w:pos="964"/>
          <w:tab w:val="left" w:pos="1928"/>
          <w:tab w:val="left" w:pos="2892"/>
          <w:tab w:val="left" w:pos="3856"/>
          <w:tab w:val="left" w:pos="4820"/>
          <w:tab w:val="left" w:pos="5784"/>
          <w:tab w:val="left" w:pos="6748"/>
          <w:tab w:val="left" w:pos="7712"/>
          <w:tab w:val="left" w:pos="8676"/>
        </w:tabs>
      </w:pPr>
      <w:r>
        <w:rPr>
          <w:rFonts w:ascii="Helvetica Neue" w:hAnsi="Helvetica Neue"/>
          <w:color w:val="000000"/>
          <w:sz w:val="24"/>
          <w:szCs w:val="24"/>
          <w:rtl w:val="0"/>
          <w:lang w:val="en-US"/>
        </w:rPr>
        <w:t>The Subscriber has agreed to subscribe for the New Shares upon the terms and conditions contained in this Agreement.</w:t>
      </w:r>
    </w:p>
    <w:p>
      <w:pPr>
        <w:pStyle w:val="Subtitle"/>
        <w:bidi w:val="0"/>
      </w:pPr>
      <w:bookmarkStart w:name="TOC477662236" w:id="2"/>
      <w:bookmarkEnd w:id="2"/>
      <w:r>
        <w:rPr>
          <w:rFonts w:ascii="Helvetica Neue" w:hAnsi="Helvetica Neue"/>
          <w:sz w:val="28"/>
          <w:szCs w:val="28"/>
          <w:rtl w:val="0"/>
          <w:lang w:val="en-US"/>
        </w:rPr>
        <w:t>O</w:t>
      </w:r>
      <w:r>
        <w:rPr>
          <w:rFonts w:ascii="Helvetica Neue" w:hAnsi="Helvetica Neue"/>
          <w:sz w:val="28"/>
          <w:szCs w:val="28"/>
          <w:rtl w:val="0"/>
          <w:lang w:val="en-US"/>
        </w:rPr>
        <w:t>perative provisions</w:t>
      </w:r>
    </w:p>
    <w:p>
      <w:pPr>
        <w:pStyle w:val="Heading 1 A"/>
        <w:numPr>
          <w:ilvl w:val="0"/>
          <w:numId w:val="4"/>
        </w:numPr>
        <w:bidi w:val="0"/>
        <w:rPr>
          <w:sz w:val="32"/>
          <w:szCs w:val="32"/>
        </w:rPr>
      </w:pPr>
      <w:bookmarkStart w:name="_Toc" w:id="3"/>
      <w:r>
        <w:rPr>
          <w:rFonts w:ascii="Helvetica Neue" w:hAnsi="Helvetica Neue"/>
          <w:color w:val="000000"/>
          <w:sz w:val="32"/>
          <w:szCs w:val="32"/>
          <w:rtl w:val="0"/>
          <w:lang w:val="en-US"/>
        </w:rPr>
        <w:t>Definitions and interpretation</w:t>
      </w:r>
      <w:bookmarkEnd w:id="3"/>
    </w:p>
    <w:p>
      <w:pPr>
        <w:pStyle w:val="IndentParaLevel1"/>
        <w:bidi w:val="0"/>
      </w:pPr>
      <w:r>
        <w:rPr>
          <w:rFonts w:ascii="Helvetica Neue" w:hAnsi="Helvetica Neue"/>
          <w:sz w:val="24"/>
          <w:szCs w:val="24"/>
          <w:rtl w:val="0"/>
          <w:lang w:val="en-US"/>
        </w:rPr>
        <w:t>In this Agreement:</w:t>
      </w:r>
    </w:p>
    <w:p>
      <w:pPr>
        <w:pStyle w:val="IndentParaLevel1"/>
        <w:bidi w:val="0"/>
      </w:pPr>
      <w:r>
        <w:rPr>
          <w:rFonts w:ascii="Helvetica Neue" w:hAnsi="Helvetica Neue"/>
          <w:b w:val="1"/>
          <w:bCs w:val="1"/>
          <w:sz w:val="24"/>
          <w:szCs w:val="24"/>
          <w:rtl w:val="0"/>
          <w:lang w:val="en-US"/>
        </w:rPr>
        <w:t>"Business Day"</w:t>
      </w:r>
      <w:r>
        <w:rPr>
          <w:rFonts w:ascii="Helvetica Neue" w:hAnsi="Helvetica Neue"/>
          <w:sz w:val="24"/>
          <w:szCs w:val="24"/>
          <w:rtl w:val="0"/>
          <w:lang w:val="en-US"/>
        </w:rPr>
        <w:t xml:space="preserve"> means a day on which all banks are open for business generally in the New South Wales.</w:t>
      </w:r>
    </w:p>
    <w:p>
      <w:pPr>
        <w:pStyle w:val="IndentParaLevel1"/>
        <w:bidi w:val="0"/>
      </w:pPr>
      <w:r>
        <w:rPr>
          <w:rFonts w:ascii="Helvetica Neue" w:hAnsi="Helvetica Neue"/>
          <w:b w:val="1"/>
          <w:bCs w:val="1"/>
          <w:sz w:val="24"/>
          <w:szCs w:val="24"/>
          <w:rtl w:val="0"/>
          <w:lang w:val="en-US"/>
        </w:rPr>
        <w:t>"Encumbrance"</w:t>
      </w:r>
      <w:r>
        <w:rPr>
          <w:rFonts w:ascii="Helvetica Neue" w:hAnsi="Helvetica Neue"/>
          <w:sz w:val="24"/>
          <w:szCs w:val="24"/>
          <w:rtl w:val="0"/>
          <w:lang w:val="en-US"/>
        </w:rPr>
        <w:t xml:space="preserve"> includes any mortgage, charge, pledge, lien and any other encumbrance whatsoever.</w:t>
      </w:r>
    </w:p>
    <w:p>
      <w:pPr>
        <w:pStyle w:val="IndentParaLevel1"/>
        <w:bidi w:val="0"/>
      </w:pPr>
      <w:r>
        <w:rPr>
          <w:rFonts w:ascii="Helvetica Neue" w:hAnsi="Helvetica Neue" w:hint="default"/>
          <w:b w:val="1"/>
          <w:bCs w:val="1"/>
          <w:sz w:val="24"/>
          <w:szCs w:val="24"/>
          <w:rtl w:val="0"/>
          <w:lang w:val="en-US"/>
        </w:rPr>
        <w:t>“</w:t>
      </w:r>
      <w:r>
        <w:rPr>
          <w:rFonts w:ascii="Helvetica Neue" w:hAnsi="Helvetica Neue"/>
          <w:b w:val="1"/>
          <w:bCs w:val="1"/>
          <w:sz w:val="24"/>
          <w:szCs w:val="24"/>
          <w:rtl w:val="0"/>
          <w:lang w:val="en-US"/>
        </w:rPr>
        <w:t>Enterprise Valuation</w:t>
      </w:r>
      <w:r>
        <w:rPr>
          <w:rFonts w:ascii="Helvetica Neue" w:hAnsi="Helvetica Neue" w:hint="default"/>
          <w:b w:val="1"/>
          <w:bCs w:val="1"/>
          <w:sz w:val="24"/>
          <w:szCs w:val="24"/>
          <w:rtl w:val="0"/>
          <w:lang w:val="en-US"/>
        </w:rPr>
        <w:t>”</w:t>
      </w:r>
      <w:r>
        <w:rPr>
          <w:rFonts w:ascii="Helvetica Neue" w:hAnsi="Helvetica Neue"/>
          <w:sz w:val="24"/>
          <w:szCs w:val="24"/>
          <w:rtl w:val="0"/>
          <w:lang w:val="en-US"/>
        </w:rPr>
        <w:t xml:space="preserve"> means $ </w:t>
      </w:r>
      <w:r>
        <w:rPr>
          <w:rFonts w:ascii="Helvetica Neue" w:hAnsi="Helvetica Neue"/>
          <w:sz w:val="24"/>
          <w:szCs w:val="24"/>
          <w:rtl w:val="0"/>
          <w:lang w:val="en-US"/>
        </w:rPr>
        <w:t>2</w:t>
      </w:r>
      <w:r>
        <w:rPr>
          <w:rFonts w:ascii="Helvetica Neue" w:hAnsi="Helvetica Neue"/>
          <w:sz w:val="24"/>
          <w:szCs w:val="24"/>
          <w:rtl w:val="0"/>
          <w:lang w:val="en-US"/>
        </w:rPr>
        <w:t>.</w:t>
      </w:r>
      <w:r>
        <w:rPr>
          <w:rFonts w:ascii="Helvetica Neue" w:hAnsi="Helvetica Neue"/>
          <w:sz w:val="24"/>
          <w:szCs w:val="24"/>
          <w:rtl w:val="0"/>
          <w:lang w:val="en-US"/>
        </w:rPr>
        <w:t>5</w:t>
      </w:r>
      <w:r>
        <w:rPr>
          <w:rFonts w:ascii="Helvetica Neue" w:hAnsi="Helvetica Neue"/>
          <w:sz w:val="24"/>
          <w:szCs w:val="24"/>
          <w:rtl w:val="0"/>
          <w:lang w:val="en-US"/>
        </w:rPr>
        <w:t xml:space="preserve"> million.</w:t>
      </w:r>
    </w:p>
    <w:p>
      <w:pPr>
        <w:pStyle w:val="IndentParaLevel1"/>
        <w:bidi w:val="0"/>
      </w:pPr>
      <w:r>
        <w:rPr>
          <w:rFonts w:ascii="Helvetica Neue" w:hAnsi="Helvetica Neue"/>
          <w:b w:val="1"/>
          <w:bCs w:val="1"/>
          <w:sz w:val="24"/>
          <w:szCs w:val="24"/>
          <w:rtl w:val="0"/>
          <w:lang w:val="en-US"/>
        </w:rPr>
        <w:t>"Share"</w:t>
      </w:r>
      <w:r>
        <w:rPr>
          <w:rFonts w:ascii="Helvetica Neue" w:hAnsi="Helvetica Neue"/>
          <w:sz w:val="24"/>
          <w:szCs w:val="24"/>
          <w:rtl w:val="0"/>
          <w:lang w:val="en-US"/>
        </w:rPr>
        <w:t xml:space="preserve"> means one ordinary share in the capital of the Company.</w:t>
      </w:r>
    </w:p>
    <w:p>
      <w:pPr>
        <w:pStyle w:val="IndentParaLevel1"/>
        <w:bidi w:val="0"/>
      </w:pPr>
      <w:r>
        <w:rPr>
          <w:rFonts w:ascii="Helvetica Neue" w:hAnsi="Helvetica Neue"/>
          <w:b w:val="1"/>
          <w:bCs w:val="1"/>
          <w:sz w:val="24"/>
          <w:szCs w:val="24"/>
          <w:rtl w:val="0"/>
          <w:lang w:val="en-US"/>
        </w:rPr>
        <w:t>"Subscription Price"</w:t>
      </w:r>
      <w:r>
        <w:rPr>
          <w:rFonts w:ascii="Helvetica Neue" w:hAnsi="Helvetica Neue"/>
          <w:sz w:val="24"/>
          <w:szCs w:val="24"/>
          <w:rtl w:val="0"/>
          <w:lang w:val="en-US"/>
        </w:rPr>
        <w:t xml:space="preserve"> means $ </w:t>
      </w:r>
      <w:r>
        <w:rPr>
          <w:rFonts w:ascii="Helvetica Neue" w:hAnsi="Helvetica Neue"/>
          <w:sz w:val="24"/>
          <w:szCs w:val="24"/>
          <w:rtl w:val="0"/>
          <w:lang w:val="en-US"/>
        </w:rPr>
        <w:t>5</w:t>
      </w:r>
      <w:r>
        <w:rPr>
          <w:rFonts w:ascii="Helvetica Neue" w:hAnsi="Helvetica Neue"/>
          <w:sz w:val="24"/>
          <w:szCs w:val="24"/>
          <w:rtl w:val="0"/>
          <w:lang w:val="en-US"/>
        </w:rPr>
        <w:t>00,000</w:t>
      </w:r>
    </w:p>
    <w:p>
      <w:pPr>
        <w:pStyle w:val="IndentParaLevel1"/>
        <w:bidi w:val="0"/>
      </w:pPr>
      <w:r>
        <w:rPr>
          <w:rFonts w:ascii="Helvetica Neue" w:hAnsi="Helvetica Neue"/>
          <w:b w:val="1"/>
          <w:bCs w:val="1"/>
          <w:sz w:val="24"/>
          <w:szCs w:val="24"/>
          <w:rtl w:val="0"/>
          <w:lang w:val="en-US"/>
        </w:rPr>
        <w:t>"Certificate"</w:t>
      </w:r>
      <w:r>
        <w:rPr>
          <w:rFonts w:ascii="Helvetica Neue" w:hAnsi="Helvetica Neue"/>
          <w:sz w:val="24"/>
          <w:szCs w:val="24"/>
          <w:rtl w:val="0"/>
          <w:lang w:val="en-US"/>
        </w:rPr>
        <w:t xml:space="preserve"> means </w:t>
      </w:r>
      <w:r>
        <w:rPr>
          <w:rFonts w:ascii="Helvetica Neue" w:hAnsi="Helvetica Neue"/>
          <w:sz w:val="24"/>
          <w:szCs w:val="24"/>
          <w:rtl w:val="0"/>
          <w:lang w:val="en-US"/>
        </w:rPr>
        <w:t xml:space="preserve">in respect of the New Shares of the Subscriber, a certificate issued in accordance with the laws of Wyoming, USA in respect of those New Shares specifying the Subscriber as the registered holder of those New Shares. </w:t>
      </w:r>
    </w:p>
    <w:p>
      <w:pPr>
        <w:pStyle w:val="IndentParaLevel1"/>
        <w:bidi w:val="0"/>
      </w:pPr>
      <w:r>
        <w:rPr>
          <w:rFonts w:ascii="Helvetica Neue" w:hAnsi="Helvetica Neue"/>
          <w:b w:val="1"/>
          <w:bCs w:val="1"/>
          <w:sz w:val="24"/>
          <w:szCs w:val="24"/>
          <w:rtl w:val="0"/>
          <w:lang w:val="en-US"/>
        </w:rPr>
        <w:t>"Subscription Completion"</w:t>
      </w:r>
      <w:r>
        <w:rPr>
          <w:rFonts w:ascii="Helvetica Neue" w:hAnsi="Helvetica Neue"/>
          <w:sz w:val="24"/>
          <w:szCs w:val="24"/>
          <w:rtl w:val="0"/>
          <w:lang w:val="en-US"/>
        </w:rPr>
        <w:t xml:space="preserve"> means the happening of all of the events under this Agreement are due to happen on the Subscription Completion Date.</w:t>
      </w:r>
    </w:p>
    <w:p>
      <w:pPr>
        <w:pStyle w:val="IndentParaLevel1"/>
        <w:bidi w:val="0"/>
      </w:pPr>
      <w:r>
        <w:rPr>
          <w:rFonts w:ascii="Helvetica Neue" w:hAnsi="Helvetica Neue"/>
          <w:b w:val="1"/>
          <w:bCs w:val="1"/>
          <w:sz w:val="24"/>
          <w:szCs w:val="24"/>
          <w:rtl w:val="0"/>
          <w:lang w:val="en-US"/>
        </w:rPr>
        <w:t>"Subscription Completion Date"</w:t>
      </w:r>
      <w:r>
        <w:rPr>
          <w:rFonts w:ascii="Helvetica Neue" w:hAnsi="Helvetica Neue"/>
          <w:sz w:val="24"/>
          <w:szCs w:val="24"/>
          <w:rtl w:val="0"/>
          <w:lang w:val="en-US"/>
        </w:rPr>
        <w:t xml:space="preserve"> means the date on which Subscription Completion occurs.</w:t>
      </w:r>
    </w:p>
    <w:p>
      <w:pPr>
        <w:pStyle w:val="IndentParaLevel1"/>
        <w:bidi w:val="0"/>
      </w:pPr>
      <w:r>
        <w:rPr>
          <w:rFonts w:ascii="Helvetica Neue" w:hAnsi="Helvetica Neue" w:hint="default"/>
          <w:b w:val="1"/>
          <w:bCs w:val="1"/>
          <w:sz w:val="24"/>
          <w:szCs w:val="24"/>
          <w:rtl w:val="0"/>
          <w:lang w:val="en-US"/>
        </w:rPr>
        <w:t>“</w:t>
      </w:r>
      <w:r>
        <w:rPr>
          <w:rFonts w:ascii="Helvetica Neue" w:hAnsi="Helvetica Neue"/>
          <w:b w:val="1"/>
          <w:bCs w:val="1"/>
          <w:sz w:val="24"/>
          <w:szCs w:val="24"/>
          <w:rtl w:val="0"/>
          <w:lang w:val="en-US"/>
        </w:rPr>
        <w:t>New Shares"</w:t>
      </w:r>
      <w:r>
        <w:rPr>
          <w:rFonts w:ascii="Helvetica Neue" w:hAnsi="Helvetica Neue"/>
          <w:sz w:val="24"/>
          <w:szCs w:val="24"/>
          <w:rtl w:val="0"/>
          <w:lang w:val="en-US"/>
        </w:rPr>
        <w:t xml:space="preserve"> means that number of Shares representing the issued Shares of the Company under this Agreement - up to </w:t>
      </w:r>
      <w:r>
        <w:rPr>
          <w:rFonts w:ascii="Helvetica Neue" w:hAnsi="Helvetica Neue"/>
          <w:sz w:val="24"/>
          <w:szCs w:val="24"/>
          <w:rtl w:val="0"/>
          <w:lang w:val="en-US"/>
        </w:rPr>
        <w:t>2</w:t>
      </w:r>
      <w:r>
        <w:rPr>
          <w:rFonts w:ascii="Helvetica Neue" w:hAnsi="Helvetica Neue"/>
          <w:sz w:val="24"/>
          <w:szCs w:val="24"/>
          <w:rtl w:val="0"/>
          <w:lang w:val="en-US"/>
        </w:rPr>
        <w:t>0% of the Company (calculated as Subscription Price divided by the Enterprise Valuation).</w:t>
      </w:r>
    </w:p>
    <w:p>
      <w:pPr>
        <w:pStyle w:val="IndentParaLevel1"/>
        <w:bidi w:val="0"/>
      </w:pPr>
      <w:r>
        <w:rPr>
          <w:rFonts w:ascii="Helvetica Neue" w:hAnsi="Helvetica Neue" w:hint="default"/>
          <w:b w:val="1"/>
          <w:bCs w:val="1"/>
          <w:sz w:val="24"/>
          <w:szCs w:val="24"/>
          <w:rtl w:val="0"/>
          <w:lang w:val="en-US"/>
        </w:rPr>
        <w:t>“</w:t>
      </w:r>
      <w:r>
        <w:rPr>
          <w:rFonts w:ascii="Helvetica Neue" w:hAnsi="Helvetica Neue"/>
          <w:b w:val="1"/>
          <w:bCs w:val="1"/>
          <w:sz w:val="24"/>
          <w:szCs w:val="24"/>
          <w:rtl w:val="0"/>
          <w:lang w:val="en-US"/>
        </w:rPr>
        <w:t>Schedule 1</w:t>
      </w:r>
      <w:r>
        <w:rPr>
          <w:rFonts w:ascii="Helvetica Neue" w:hAnsi="Helvetica Neue" w:hint="default"/>
          <w:b w:val="1"/>
          <w:bCs w:val="1"/>
          <w:sz w:val="24"/>
          <w:szCs w:val="24"/>
          <w:rtl w:val="0"/>
          <w:lang w:val="en-US"/>
        </w:rPr>
        <w:t>”</w:t>
      </w:r>
      <w:r>
        <w:rPr>
          <w:rFonts w:ascii="Helvetica Neue" w:hAnsi="Helvetica Neue"/>
          <w:sz w:val="24"/>
          <w:szCs w:val="24"/>
          <w:rtl w:val="0"/>
          <w:lang w:val="en-US"/>
        </w:rPr>
        <w:t xml:space="preserve"> means </w:t>
      </w:r>
      <w:r>
        <w:rPr>
          <w:rFonts w:ascii="Helvetica Neue" w:hAnsi="Helvetica Neue" w:hint="default"/>
          <w:sz w:val="24"/>
          <w:szCs w:val="24"/>
          <w:rtl w:val="0"/>
          <w:lang w:val="en-US"/>
        </w:rPr>
        <w:t>“</w:t>
      </w:r>
      <w:r>
        <w:rPr>
          <w:rFonts w:ascii="Helvetica Neue" w:hAnsi="Helvetica Neue"/>
          <w:sz w:val="24"/>
          <w:szCs w:val="24"/>
          <w:rtl w:val="0"/>
          <w:lang w:val="en-US"/>
        </w:rPr>
        <w:t>5. PAYYAP Updated Financial Model (USD 500k+) v2017-06-27.pdf</w:t>
      </w:r>
      <w:r>
        <w:rPr>
          <w:rFonts w:ascii="Helvetica Neue" w:hAnsi="Helvetica Neue" w:hint="default"/>
          <w:sz w:val="24"/>
          <w:szCs w:val="24"/>
          <w:rtl w:val="0"/>
          <w:lang w:val="en-US"/>
        </w:rPr>
        <w:t>”</w:t>
      </w:r>
    </w:p>
    <w:p>
      <w:pPr>
        <w:pStyle w:val="Heading 1 A"/>
        <w:numPr>
          <w:ilvl w:val="0"/>
          <w:numId w:val="4"/>
        </w:numPr>
        <w:bidi w:val="0"/>
        <w:rPr>
          <w:sz w:val="32"/>
          <w:szCs w:val="32"/>
        </w:rPr>
      </w:pPr>
      <w:bookmarkStart w:name="_Toc1" w:id="4"/>
      <w:bookmarkStart w:name="TOC486740690" w:id="5"/>
      <w:bookmarkEnd w:id="5"/>
      <w:r>
        <w:rPr>
          <w:rFonts w:ascii="Helvetica Neue" w:hAnsi="Helvetica Neue"/>
          <w:sz w:val="32"/>
          <w:szCs w:val="32"/>
          <w:rtl w:val="0"/>
          <w:lang w:val="en-US"/>
        </w:rPr>
        <w:t>S</w:t>
      </w:r>
      <w:r>
        <w:rPr>
          <w:rFonts w:ascii="Helvetica Neue" w:hAnsi="Helvetica Neue"/>
          <w:sz w:val="32"/>
          <w:szCs w:val="32"/>
          <w:rtl w:val="0"/>
          <w:lang w:val="en-US"/>
        </w:rPr>
        <w:t>ubscription for New Shares</w:t>
      </w:r>
      <w:bookmarkEnd w:id="4"/>
    </w:p>
    <w:p>
      <w:pPr>
        <w:pStyle w:val="Heading 2 A"/>
        <w:numPr>
          <w:ilvl w:val="1"/>
          <w:numId w:val="4"/>
        </w:numPr>
        <w:bidi w:val="0"/>
        <w:rPr>
          <w:sz w:val="28"/>
          <w:szCs w:val="28"/>
        </w:rPr>
      </w:pPr>
      <w:bookmarkStart w:name="_Toc2" w:id="6"/>
      <w:bookmarkStart w:name="TOC486740691" w:id="7"/>
      <w:bookmarkEnd w:id="7"/>
      <w:r>
        <w:rPr>
          <w:rFonts w:ascii="Helvetica Neue" w:hAnsi="Helvetica Neue"/>
          <w:sz w:val="28"/>
          <w:szCs w:val="28"/>
          <w:rtl w:val="0"/>
          <w:lang w:val="en-US"/>
        </w:rPr>
        <w:t>S</w:t>
      </w:r>
      <w:r>
        <w:rPr>
          <w:rFonts w:ascii="Helvetica Neue" w:hAnsi="Helvetica Neue"/>
          <w:sz w:val="28"/>
          <w:szCs w:val="28"/>
          <w:rtl w:val="0"/>
          <w:lang w:val="en-US"/>
        </w:rPr>
        <w:t>ubscription</w:t>
      </w:r>
      <w:bookmarkEnd w:id="6"/>
    </w:p>
    <w:p>
      <w:pPr>
        <w:pStyle w:val="Normal.0"/>
        <w:tabs>
          <w:tab w:val="left" w:pos="964"/>
          <w:tab w:val="left" w:pos="1928"/>
          <w:tab w:val="left" w:pos="2892"/>
          <w:tab w:val="left" w:pos="3856"/>
          <w:tab w:val="left" w:pos="4820"/>
          <w:tab w:val="left" w:pos="5784"/>
          <w:tab w:val="left" w:pos="6748"/>
          <w:tab w:val="left" w:pos="7712"/>
          <w:tab w:val="left" w:pos="8676"/>
        </w:tabs>
        <w:ind w:left="964" w:firstLine="0"/>
      </w:pPr>
      <w:r>
        <w:rPr>
          <w:rFonts w:ascii="Helvetica Neue" w:hAnsi="Helvetica Neue"/>
          <w:sz w:val="24"/>
          <w:szCs w:val="24"/>
          <w:rtl w:val="0"/>
          <w:lang w:val="en-US"/>
        </w:rPr>
        <w:t>Subject to the terms and conditions of this Agreement, the Subscriber agrees to subscribe for the New Shares for the Subscription Price on the Subscription Completion Date.</w:t>
      </w:r>
    </w:p>
    <w:p>
      <w:pPr>
        <w:pStyle w:val="Heading 2 A"/>
        <w:numPr>
          <w:ilvl w:val="1"/>
          <w:numId w:val="4"/>
        </w:numPr>
        <w:bidi w:val="0"/>
        <w:rPr>
          <w:sz w:val="28"/>
          <w:szCs w:val="28"/>
        </w:rPr>
      </w:pPr>
      <w:bookmarkStart w:name="_Toc3" w:id="8"/>
      <w:bookmarkStart w:name="TOC486740697" w:id="9"/>
      <w:bookmarkEnd w:id="9"/>
      <w:r>
        <w:rPr>
          <w:rFonts w:ascii="Helvetica Neue" w:hAnsi="Helvetica Neue"/>
          <w:sz w:val="28"/>
          <w:szCs w:val="28"/>
          <w:rtl w:val="0"/>
          <w:lang w:val="en-US"/>
        </w:rPr>
        <w:t>T</w:t>
      </w:r>
      <w:r>
        <w:rPr>
          <w:rFonts w:ascii="Helvetica Neue" w:hAnsi="Helvetica Neue"/>
          <w:sz w:val="28"/>
          <w:szCs w:val="28"/>
          <w:rtl w:val="0"/>
          <w:lang w:val="en-US"/>
        </w:rPr>
        <w:t>ime and Place for Subscription Completion</w:t>
      </w:r>
      <w:bookmarkEnd w:id="8"/>
    </w:p>
    <w:p>
      <w:pPr>
        <w:pStyle w:val="IndentParaLevel1"/>
        <w:bidi w:val="0"/>
      </w:pPr>
      <w:r>
        <w:rPr>
          <w:rFonts w:ascii="Helvetica Neue" w:hAnsi="Helvetica Neue"/>
          <w:sz w:val="24"/>
          <w:szCs w:val="24"/>
          <w:rtl w:val="0"/>
          <w:lang w:val="en-US"/>
        </w:rPr>
        <w:t xml:space="preserve">Subscription Completion will take place over </w:t>
      </w:r>
      <w:r>
        <w:rPr>
          <w:rFonts w:ascii="Helvetica Neue" w:hAnsi="Helvetica Neue"/>
          <w:sz w:val="24"/>
          <w:szCs w:val="24"/>
          <w:rtl w:val="0"/>
          <w:lang w:val="en-US"/>
        </w:rPr>
        <w:t>one</w:t>
      </w:r>
      <w:r>
        <w:rPr>
          <w:rFonts w:ascii="Helvetica Neue" w:hAnsi="Helvetica Neue"/>
          <w:sz w:val="24"/>
          <w:szCs w:val="24"/>
          <w:rtl w:val="0"/>
          <w:lang w:val="en-US"/>
        </w:rPr>
        <w:t xml:space="preserve"> </w:t>
      </w:r>
      <w:r>
        <w:rPr>
          <w:rFonts w:ascii="Helvetica Neue" w:hAnsi="Helvetica Neue"/>
          <w:sz w:val="24"/>
          <w:szCs w:val="24"/>
          <w:rtl w:val="0"/>
          <w:lang w:val="en-US"/>
        </w:rPr>
        <w:t xml:space="preserve">(1) </w:t>
      </w:r>
      <w:r>
        <w:rPr>
          <w:rFonts w:ascii="Helvetica Neue" w:hAnsi="Helvetica Neue"/>
          <w:sz w:val="24"/>
          <w:szCs w:val="24"/>
          <w:rtl w:val="0"/>
          <w:lang w:val="en-US"/>
        </w:rPr>
        <w:t>tranche, as follows:</w:t>
      </w:r>
    </w:p>
    <w:p>
      <w:pPr>
        <w:pStyle w:val="IndentParaLevel1"/>
        <w:numPr>
          <w:ilvl w:val="0"/>
          <w:numId w:val="5"/>
        </w:numPr>
        <w:rPr>
          <w:sz w:val="24"/>
          <w:szCs w:val="24"/>
          <w:lang w:val="en-US"/>
        </w:rPr>
      </w:pPr>
      <w:r>
        <w:rPr>
          <w:rFonts w:ascii="Helvetica Neue" w:hAnsi="Helvetica Neue"/>
          <w:sz w:val="24"/>
          <w:szCs w:val="24"/>
          <w:rtl w:val="0"/>
          <w:lang w:val="en-US"/>
        </w:rPr>
        <w:t>USD</w:t>
      </w:r>
      <w:r>
        <w:rPr>
          <w:rFonts w:ascii="Helvetica Neue" w:hAnsi="Helvetica Neue"/>
          <w:sz w:val="24"/>
          <w:szCs w:val="24"/>
          <w:rtl w:val="0"/>
          <w:lang w:val="en-US"/>
        </w:rPr>
        <w:t xml:space="preserve"> 500</w:t>
      </w:r>
      <w:r>
        <w:rPr>
          <w:rFonts w:ascii="Helvetica Neue" w:hAnsi="Helvetica Neue"/>
          <w:sz w:val="24"/>
          <w:szCs w:val="24"/>
          <w:rtl w:val="0"/>
          <w:lang w:val="en-US"/>
        </w:rPr>
        <w:t xml:space="preserve">,000 </w:t>
      </w:r>
      <w:r>
        <w:rPr>
          <w:rFonts w:ascii="Helvetica Neue" w:hAnsi="Helvetica Neue"/>
          <w:sz w:val="24"/>
          <w:szCs w:val="24"/>
          <w:rtl w:val="0"/>
          <w:lang w:val="en-US"/>
        </w:rPr>
        <w:t>in the week of AUG 1, 2017</w:t>
      </w:r>
    </w:p>
    <w:p>
      <w:pPr>
        <w:pStyle w:val="IndentParaLevel1"/>
        <w:tabs>
          <w:tab w:val="left" w:pos="964"/>
          <w:tab w:val="left" w:pos="1928"/>
          <w:tab w:val="left" w:pos="2892"/>
          <w:tab w:val="left" w:pos="3856"/>
          <w:tab w:val="left" w:pos="4820"/>
          <w:tab w:val="left" w:pos="5784"/>
          <w:tab w:val="left" w:pos="6748"/>
          <w:tab w:val="left" w:pos="7712"/>
          <w:tab w:val="left" w:pos="8676"/>
        </w:tabs>
        <w:ind w:left="1484"/>
      </w:pPr>
      <w:r>
        <w:rPr>
          <w:rFonts w:ascii="Helvetica Neue" w:hAnsi="Helvetica Neue"/>
          <w:sz w:val="24"/>
          <w:szCs w:val="24"/>
          <w:rtl w:val="0"/>
          <w:lang w:val="en-US"/>
        </w:rPr>
        <w:t>Or such other time and place as notified by the Company to the Subscriber.</w:t>
      </w:r>
    </w:p>
    <w:p>
      <w:pPr>
        <w:pStyle w:val="Heading 2 A"/>
        <w:numPr>
          <w:ilvl w:val="1"/>
          <w:numId w:val="6"/>
        </w:numPr>
        <w:rPr>
          <w:sz w:val="28"/>
          <w:szCs w:val="28"/>
        </w:rPr>
      </w:pPr>
      <w:bookmarkStart w:name="_Toc4" w:id="10"/>
      <w:bookmarkStart w:name="TOC486740698" w:id="11"/>
      <w:bookmarkEnd w:id="11"/>
      <w:r>
        <w:rPr>
          <w:rFonts w:ascii="Helvetica Neue" w:hAnsi="Helvetica Neue"/>
          <w:sz w:val="28"/>
          <w:szCs w:val="28"/>
          <w:rtl w:val="0"/>
          <w:lang w:val="en-US"/>
        </w:rPr>
        <w:t>O</w:t>
      </w:r>
      <w:r>
        <w:rPr>
          <w:rFonts w:ascii="Helvetica Neue" w:hAnsi="Helvetica Neue"/>
          <w:sz w:val="28"/>
          <w:szCs w:val="28"/>
          <w:rtl w:val="0"/>
          <w:lang w:val="en-US"/>
        </w:rPr>
        <w:t>bligations of the Company</w:t>
      </w:r>
      <w:bookmarkEnd w:id="10"/>
    </w:p>
    <w:p>
      <w:pPr>
        <w:pStyle w:val="Heading 3 A"/>
        <w:tabs>
          <w:tab w:val="left" w:pos="964"/>
          <w:tab w:val="left" w:pos="2892"/>
          <w:tab w:val="left" w:pos="3856"/>
          <w:tab w:val="left" w:pos="4820"/>
          <w:tab w:val="left" w:pos="5784"/>
          <w:tab w:val="left" w:pos="6748"/>
          <w:tab w:val="left" w:pos="7712"/>
          <w:tab w:val="left" w:pos="8676"/>
        </w:tabs>
        <w:ind w:left="964" w:hanging="964"/>
      </w:pPr>
      <w:r>
        <w:rPr>
          <w:rFonts w:ascii="Helvetica Neue" w:cs="Helvetica Neue" w:hAnsi="Helvetica Neue" w:eastAsia="Helvetica Neue"/>
          <w:color w:val="000000"/>
          <w:sz w:val="28"/>
          <w:szCs w:val="28"/>
        </w:rPr>
        <w:tab/>
      </w:r>
      <w:r>
        <w:rPr>
          <w:rFonts w:ascii="Helvetica Neue" w:hAnsi="Helvetica Neue"/>
          <w:sz w:val="24"/>
          <w:szCs w:val="24"/>
          <w:rtl w:val="0"/>
          <w:lang w:val="en-US"/>
        </w:rPr>
        <w:t>Subject to the Subscriber satisfying its obligations under clause</w:t>
      </w:r>
      <w:r>
        <w:rPr>
          <w:rFonts w:ascii="Helvetica Neue" w:hAnsi="Helvetica Neue" w:hint="default"/>
          <w:sz w:val="24"/>
          <w:szCs w:val="24"/>
          <w:rtl w:val="0"/>
          <w:lang w:val="en-US"/>
        </w:rPr>
        <w:t> </w:t>
      </w:r>
      <w:r>
        <w:rPr>
          <w:rStyle w:val="Hyperlink.0"/>
        </w:rPr>
        <w:fldChar w:fldCharType="begin" w:fldLock="0"/>
      </w:r>
      <w:r>
        <w:rPr>
          <w:rStyle w:val="Hyperlink.0"/>
        </w:rPr>
        <w:instrText xml:space="preserve"> HYPERLINK \l "Ref187837968" </w:instrText>
      </w:r>
      <w:r>
        <w:rPr>
          <w:rStyle w:val="Hyperlink.0"/>
        </w:rPr>
        <w:fldChar w:fldCharType="separate" w:fldLock="0"/>
      </w:r>
      <w:r>
        <w:rPr>
          <w:rStyle w:val="Hyperlink.0"/>
          <w:rtl w:val="0"/>
          <w:lang w:val="en-US"/>
        </w:rPr>
        <w:t>2.4</w:t>
      </w:r>
      <w:r>
        <w:rPr/>
        <w:fldChar w:fldCharType="end" w:fldLock="0"/>
      </w:r>
      <w:r>
        <w:rPr>
          <w:rFonts w:ascii="Helvetica Neue" w:hAnsi="Helvetica Neue"/>
          <w:sz w:val="24"/>
          <w:szCs w:val="24"/>
          <w:rtl w:val="0"/>
          <w:lang w:val="en-US"/>
        </w:rPr>
        <w:t>, on Subscription Completion the Company will:</w:t>
      </w:r>
    </w:p>
    <w:p>
      <w:pPr>
        <w:pStyle w:val="Heading 3 A"/>
        <w:numPr>
          <w:ilvl w:val="2"/>
          <w:numId w:val="6"/>
        </w:numPr>
        <w:bidi w:val="0"/>
        <w:rPr>
          <w:sz w:val="24"/>
          <w:szCs w:val="24"/>
        </w:rPr>
      </w:pPr>
      <w:r>
        <w:rPr>
          <w:rFonts w:ascii="Helvetica Neue" w:hAnsi="Helvetica Neue"/>
          <w:sz w:val="24"/>
          <w:szCs w:val="24"/>
          <w:rtl w:val="0"/>
          <w:lang w:val="en-US"/>
        </w:rPr>
        <w:t>convene a meeting of the directors of the Company, at which the directors of the Company resolve to issue and allot the New Shares to the Subscriber and issue a Certificate in respect of those Shares;</w:t>
      </w:r>
    </w:p>
    <w:p>
      <w:pPr>
        <w:pStyle w:val="Heading 3 A"/>
        <w:numPr>
          <w:ilvl w:val="2"/>
          <w:numId w:val="6"/>
        </w:numPr>
        <w:bidi w:val="0"/>
        <w:rPr>
          <w:sz w:val="24"/>
          <w:szCs w:val="24"/>
        </w:rPr>
      </w:pPr>
      <w:r>
        <w:rPr>
          <w:rFonts w:ascii="Helvetica Neue" w:hAnsi="Helvetica Neue"/>
          <w:sz w:val="24"/>
          <w:szCs w:val="24"/>
          <w:rtl w:val="0"/>
          <w:lang w:val="en-US"/>
        </w:rPr>
        <w:t>enter the Subscriber in the register of members of the Company in respect of the New Shares; and</w:t>
      </w:r>
    </w:p>
    <w:p>
      <w:pPr>
        <w:pStyle w:val="Heading 3 A"/>
        <w:numPr>
          <w:ilvl w:val="2"/>
          <w:numId w:val="6"/>
        </w:numPr>
        <w:bidi w:val="0"/>
        <w:rPr>
          <w:sz w:val="24"/>
          <w:szCs w:val="24"/>
        </w:rPr>
      </w:pPr>
      <w:r>
        <w:rPr>
          <w:rFonts w:ascii="Helvetica Neue" w:hAnsi="Helvetica Neue"/>
          <w:sz w:val="24"/>
          <w:szCs w:val="24"/>
          <w:rtl w:val="0"/>
          <w:lang w:val="en-US"/>
        </w:rPr>
        <w:t>deliver or cause to be delivered to the Subscriber that Certificate in accordance with the investment schedule set forth in 2.2.</w:t>
      </w:r>
    </w:p>
    <w:p>
      <w:pPr>
        <w:pStyle w:val="Heading 2 A"/>
        <w:numPr>
          <w:ilvl w:val="1"/>
          <w:numId w:val="4"/>
        </w:numPr>
        <w:bidi w:val="0"/>
        <w:rPr>
          <w:sz w:val="28"/>
          <w:szCs w:val="28"/>
        </w:rPr>
      </w:pPr>
      <w:bookmarkStart w:name="_Toc5" w:id="12"/>
      <w:bookmarkStart w:name="Ref1878379681" w:id="13"/>
      <w:bookmarkEnd w:id="13"/>
      <w:r>
        <w:rPr>
          <w:rFonts w:ascii="Helvetica Neue" w:hAnsi="Helvetica Neue"/>
          <w:sz w:val="28"/>
          <w:szCs w:val="28"/>
          <w:rtl w:val="0"/>
          <w:lang w:val="en-US"/>
        </w:rPr>
        <w:t>O</w:t>
      </w:r>
      <w:r>
        <w:rPr>
          <w:rFonts w:ascii="Helvetica Neue" w:hAnsi="Helvetica Neue"/>
          <w:sz w:val="28"/>
          <w:szCs w:val="28"/>
          <w:rtl w:val="0"/>
          <w:lang w:val="en-US"/>
        </w:rPr>
        <w:t>bligations of the Subscriber</w:t>
      </w:r>
      <w:bookmarkEnd w:id="12"/>
    </w:p>
    <w:p>
      <w:pPr>
        <w:pStyle w:val="IndentParaLevel1"/>
        <w:bidi w:val="0"/>
      </w:pPr>
      <w:r>
        <w:rPr>
          <w:rFonts w:ascii="Helvetica Neue" w:hAnsi="Helvetica Neue"/>
          <w:sz w:val="24"/>
          <w:szCs w:val="24"/>
          <w:rtl w:val="0"/>
          <w:lang w:val="en-US"/>
        </w:rPr>
        <w:t>On Subscription Completion, the Subscriber:</w:t>
      </w:r>
    </w:p>
    <w:p>
      <w:pPr>
        <w:pStyle w:val="Heading 3 A"/>
        <w:numPr>
          <w:ilvl w:val="2"/>
          <w:numId w:val="4"/>
        </w:numPr>
        <w:bidi w:val="0"/>
        <w:rPr>
          <w:sz w:val="24"/>
          <w:szCs w:val="24"/>
        </w:rPr>
      </w:pPr>
      <w:r>
        <w:rPr>
          <w:rFonts w:ascii="Helvetica Neue" w:hAnsi="Helvetica Neue"/>
          <w:sz w:val="24"/>
          <w:szCs w:val="24"/>
          <w:rtl w:val="0"/>
          <w:lang w:val="en-US"/>
        </w:rPr>
        <w:t>will be taken to have subscribed for the New Shares;</w:t>
      </w:r>
    </w:p>
    <w:p>
      <w:pPr>
        <w:pStyle w:val="Heading 3 A"/>
        <w:numPr>
          <w:ilvl w:val="2"/>
          <w:numId w:val="4"/>
        </w:numPr>
        <w:bidi w:val="0"/>
        <w:rPr>
          <w:sz w:val="24"/>
          <w:szCs w:val="24"/>
        </w:rPr>
      </w:pPr>
      <w:r>
        <w:rPr>
          <w:rFonts w:ascii="Helvetica Neue" w:hAnsi="Helvetica Neue"/>
          <w:sz w:val="24"/>
          <w:szCs w:val="24"/>
          <w:rtl w:val="0"/>
          <w:lang w:val="en-US"/>
        </w:rPr>
        <w:t>agrees to become a member of the Company in respect of the New Shares and agrees to hold those Shares subject to the constitution of the Company; and</w:t>
      </w:r>
    </w:p>
    <w:p>
      <w:pPr>
        <w:pStyle w:val="Heading 3 A"/>
        <w:numPr>
          <w:ilvl w:val="2"/>
          <w:numId w:val="4"/>
        </w:numPr>
        <w:bidi w:val="0"/>
        <w:rPr>
          <w:sz w:val="24"/>
          <w:szCs w:val="24"/>
        </w:rPr>
      </w:pPr>
      <w:r>
        <w:rPr>
          <w:rFonts w:ascii="Helvetica Neue" w:hAnsi="Helvetica Neue"/>
          <w:sz w:val="24"/>
          <w:szCs w:val="24"/>
          <w:rtl w:val="0"/>
          <w:lang w:val="en-US"/>
        </w:rPr>
        <w:t>paid to the Company the Subscription Price in accordance with the investment schedule set forth in 2.2.</w:t>
      </w:r>
    </w:p>
    <w:p>
      <w:pPr>
        <w:pStyle w:val="Heading 1 A"/>
        <w:numPr>
          <w:ilvl w:val="0"/>
          <w:numId w:val="4"/>
        </w:numPr>
        <w:bidi w:val="0"/>
        <w:rPr>
          <w:sz w:val="32"/>
          <w:szCs w:val="32"/>
        </w:rPr>
      </w:pPr>
      <w:bookmarkStart w:name="_Toc6" w:id="14"/>
      <w:r>
        <w:rPr>
          <w:rFonts w:ascii="Helvetica Neue" w:hAnsi="Helvetica Neue"/>
          <w:sz w:val="32"/>
          <w:szCs w:val="32"/>
          <w:rtl w:val="0"/>
          <w:lang w:val="en-US"/>
        </w:rPr>
        <w:t>Obligations following Subscription Completion</w:t>
      </w:r>
      <w:bookmarkEnd w:id="14"/>
    </w:p>
    <w:p>
      <w:pPr>
        <w:pStyle w:val="Heading 2 A"/>
        <w:numPr>
          <w:ilvl w:val="1"/>
          <w:numId w:val="6"/>
        </w:numPr>
        <w:rPr>
          <w:sz w:val="28"/>
          <w:szCs w:val="28"/>
        </w:rPr>
      </w:pPr>
      <w:bookmarkStart w:name="_Toc7" w:id="15"/>
      <w:bookmarkStart w:name="Ref188335670" w:id="16"/>
      <w:bookmarkEnd w:id="16"/>
      <w:r>
        <w:rPr>
          <w:rFonts w:ascii="Helvetica Neue" w:hAnsi="Helvetica Neue"/>
          <w:sz w:val="28"/>
          <w:szCs w:val="28"/>
          <w:rtl w:val="0"/>
          <w:lang w:val="en-US"/>
        </w:rPr>
        <w:t>O</w:t>
      </w:r>
      <w:r>
        <w:rPr>
          <w:rFonts w:ascii="Helvetica Neue" w:hAnsi="Helvetica Neue"/>
          <w:sz w:val="28"/>
          <w:szCs w:val="28"/>
          <w:rtl w:val="0"/>
          <w:lang w:val="en-US"/>
        </w:rPr>
        <w:t>bligations of the Company</w:t>
      </w:r>
      <w:bookmarkEnd w:id="15"/>
    </w:p>
    <w:p>
      <w:pPr>
        <w:pStyle w:val="Heading 3 A"/>
        <w:tabs>
          <w:tab w:val="left" w:pos="964"/>
          <w:tab w:val="left" w:pos="2892"/>
          <w:tab w:val="left" w:pos="3856"/>
          <w:tab w:val="left" w:pos="4820"/>
          <w:tab w:val="left" w:pos="5784"/>
          <w:tab w:val="left" w:pos="6748"/>
          <w:tab w:val="left" w:pos="7712"/>
          <w:tab w:val="left" w:pos="8676"/>
        </w:tabs>
        <w:ind w:left="964" w:hanging="964"/>
      </w:pPr>
      <w:r>
        <w:rPr>
          <w:rFonts w:ascii="Helvetica Neue" w:cs="Helvetica Neue" w:hAnsi="Helvetica Neue" w:eastAsia="Helvetica Neue"/>
          <w:color w:val="000000"/>
          <w:sz w:val="28"/>
          <w:szCs w:val="28"/>
        </w:rPr>
        <w:tab/>
      </w:r>
      <w:r>
        <w:rPr>
          <w:rFonts w:ascii="Helvetica Neue" w:hAnsi="Helvetica Neue"/>
          <w:sz w:val="24"/>
          <w:szCs w:val="24"/>
          <w:rtl w:val="0"/>
          <w:lang w:val="en-US"/>
        </w:rPr>
        <w:t>Following Subscription Completion, the Company must, except to the extent otherwise agreed in writing by the Subscriber:</w:t>
      </w:r>
    </w:p>
    <w:p>
      <w:pPr>
        <w:pStyle w:val="Heading 3 A"/>
        <w:numPr>
          <w:ilvl w:val="2"/>
          <w:numId w:val="7"/>
        </w:numPr>
        <w:rPr>
          <w:sz w:val="24"/>
          <w:szCs w:val="24"/>
          <w:lang w:val="en-US"/>
        </w:rPr>
      </w:pPr>
      <w:r>
        <w:rPr>
          <w:rFonts w:ascii="Helvetica Neue" w:hAnsi="Helvetica Neue"/>
          <w:sz w:val="24"/>
          <w:szCs w:val="24"/>
          <w:rtl w:val="0"/>
          <w:lang w:val="en-US"/>
        </w:rPr>
        <w:t>use the Subscription Price in accordance with Schedule 1.</w:t>
      </w:r>
      <w:bookmarkStart w:name="TOC486740700" w:id="17"/>
      <w:bookmarkEnd w:id="17"/>
    </w:p>
    <w:p>
      <w:pPr>
        <w:pStyle w:val="Heading 1 A"/>
        <w:numPr>
          <w:ilvl w:val="0"/>
          <w:numId w:val="4"/>
        </w:numPr>
        <w:bidi w:val="0"/>
        <w:rPr>
          <w:sz w:val="32"/>
          <w:szCs w:val="32"/>
        </w:rPr>
      </w:pPr>
      <w:bookmarkStart w:name="_Toc8" w:id="18"/>
      <w:r>
        <w:rPr>
          <w:rFonts w:ascii="Helvetica Neue" w:hAnsi="Helvetica Neue"/>
          <w:sz w:val="32"/>
          <w:szCs w:val="32"/>
          <w:rtl w:val="0"/>
          <w:lang w:val="en-US"/>
        </w:rPr>
        <w:t>Warranties</w:t>
      </w:r>
      <w:bookmarkEnd w:id="18"/>
    </w:p>
    <w:p>
      <w:pPr>
        <w:pStyle w:val="Heading 2 A"/>
        <w:numPr>
          <w:ilvl w:val="1"/>
          <w:numId w:val="4"/>
        </w:numPr>
        <w:bidi w:val="0"/>
        <w:rPr>
          <w:sz w:val="28"/>
          <w:szCs w:val="28"/>
        </w:rPr>
      </w:pPr>
      <w:bookmarkStart w:name="_Toc9" w:id="19"/>
      <w:bookmarkStart w:name="TOC486740701" w:id="20"/>
      <w:bookmarkEnd w:id="20"/>
      <w:r>
        <w:rPr>
          <w:rFonts w:ascii="Helvetica Neue" w:hAnsi="Helvetica Neue"/>
          <w:sz w:val="28"/>
          <w:szCs w:val="28"/>
          <w:rtl w:val="0"/>
          <w:lang w:val="en-US"/>
        </w:rPr>
        <w:t>G</w:t>
      </w:r>
      <w:r>
        <w:rPr>
          <w:rFonts w:ascii="Helvetica Neue" w:hAnsi="Helvetica Neue"/>
          <w:sz w:val="28"/>
          <w:szCs w:val="28"/>
          <w:rtl w:val="0"/>
          <w:lang w:val="en-US"/>
        </w:rPr>
        <w:t>eneral</w:t>
      </w:r>
      <w:bookmarkEnd w:id="19"/>
    </w:p>
    <w:p>
      <w:pPr>
        <w:pStyle w:val="IndentParaLevel1"/>
        <w:bidi w:val="0"/>
      </w:pPr>
      <w:r>
        <w:rPr>
          <w:rFonts w:ascii="Helvetica Neue" w:hAnsi="Helvetica Neue"/>
          <w:sz w:val="24"/>
          <w:szCs w:val="24"/>
          <w:rtl w:val="0"/>
          <w:lang w:val="en-US"/>
        </w:rPr>
        <w:t>Each party represents and warrants to the other party as at the date of this Deed and as at Subscription Completion that:</w:t>
      </w:r>
    </w:p>
    <w:p>
      <w:pPr>
        <w:pStyle w:val="Heading 3 A"/>
        <w:numPr>
          <w:ilvl w:val="2"/>
          <w:numId w:val="4"/>
        </w:numPr>
        <w:bidi w:val="0"/>
        <w:rPr>
          <w:sz w:val="24"/>
          <w:szCs w:val="24"/>
        </w:rPr>
      </w:pPr>
      <w:r>
        <w:rPr>
          <w:rFonts w:ascii="Helvetica Neue" w:hAnsi="Helvetica Neue"/>
          <w:sz w:val="24"/>
          <w:szCs w:val="24"/>
          <w:rtl w:val="0"/>
          <w:lang w:val="en-US"/>
        </w:rPr>
        <w:t>(</w:t>
      </w:r>
      <w:r>
        <w:rPr>
          <w:rFonts w:ascii="Helvetica Neue" w:hAnsi="Helvetica Neue"/>
          <w:b w:val="1"/>
          <w:bCs w:val="1"/>
          <w:sz w:val="24"/>
          <w:szCs w:val="24"/>
          <w:rtl w:val="0"/>
          <w:lang w:val="en-US"/>
        </w:rPr>
        <w:t>Legally binding obligation</w:t>
      </w:r>
      <w:r>
        <w:rPr>
          <w:rFonts w:ascii="Helvetica Neue" w:hAnsi="Helvetica Neue"/>
          <w:sz w:val="24"/>
          <w:szCs w:val="24"/>
          <w:rtl w:val="0"/>
          <w:lang w:val="en-US"/>
        </w:rPr>
        <w:t>): this Agreement constitutes a valid and legally binding obligation of that party in accordance with its terms;</w:t>
      </w:r>
    </w:p>
    <w:p>
      <w:pPr>
        <w:pStyle w:val="Heading 3 A"/>
        <w:numPr>
          <w:ilvl w:val="2"/>
          <w:numId w:val="4"/>
        </w:numPr>
        <w:bidi w:val="0"/>
        <w:rPr>
          <w:sz w:val="24"/>
          <w:szCs w:val="24"/>
        </w:rPr>
      </w:pPr>
      <w:r>
        <w:rPr>
          <w:rFonts w:ascii="Helvetica Neue" w:hAnsi="Helvetica Neue"/>
          <w:sz w:val="24"/>
          <w:szCs w:val="24"/>
          <w:rtl w:val="0"/>
          <w:lang w:val="en-US"/>
        </w:rPr>
        <w:t>(</w:t>
      </w:r>
      <w:r>
        <w:rPr>
          <w:rFonts w:ascii="Helvetica Neue" w:hAnsi="Helvetica Neue"/>
          <w:b w:val="1"/>
          <w:bCs w:val="1"/>
          <w:sz w:val="24"/>
          <w:szCs w:val="24"/>
          <w:rtl w:val="0"/>
          <w:lang w:val="en-US"/>
        </w:rPr>
        <w:t>Execution, delivery and performance</w:t>
      </w:r>
      <w:r>
        <w:rPr>
          <w:rFonts w:ascii="Helvetica Neue" w:hAnsi="Helvetica Neue"/>
          <w:sz w:val="24"/>
          <w:szCs w:val="24"/>
          <w:rtl w:val="0"/>
          <w:lang w:val="en-US"/>
        </w:rPr>
        <w:t>): the execution, delivery and performance of this Agreement by that party does not breach or conflict with any statute or law, or any document (include if a party is a body corporate, its constitution) or agreement to which that party is bound; and</w:t>
      </w:r>
    </w:p>
    <w:p>
      <w:pPr>
        <w:pStyle w:val="Heading 3 A"/>
        <w:numPr>
          <w:ilvl w:val="2"/>
          <w:numId w:val="4"/>
        </w:numPr>
        <w:bidi w:val="0"/>
        <w:rPr>
          <w:sz w:val="24"/>
          <w:szCs w:val="24"/>
        </w:rPr>
      </w:pPr>
      <w:r>
        <w:rPr>
          <w:rFonts w:ascii="Helvetica Neue" w:hAnsi="Helvetica Neue"/>
          <w:sz w:val="24"/>
          <w:szCs w:val="24"/>
          <w:rtl w:val="0"/>
          <w:lang w:val="en-US"/>
        </w:rPr>
        <w:t>(</w:t>
      </w:r>
      <w:r>
        <w:rPr>
          <w:rFonts w:ascii="Helvetica Neue" w:hAnsi="Helvetica Neue"/>
          <w:b w:val="1"/>
          <w:bCs w:val="1"/>
          <w:sz w:val="24"/>
          <w:szCs w:val="24"/>
          <w:rtl w:val="0"/>
          <w:lang w:val="en-US"/>
        </w:rPr>
        <w:t>Power</w:t>
      </w:r>
      <w:r>
        <w:rPr>
          <w:rFonts w:ascii="Helvetica Neue" w:hAnsi="Helvetica Neue"/>
          <w:sz w:val="24"/>
          <w:szCs w:val="24"/>
          <w:rtl w:val="0"/>
          <w:lang w:val="en-US"/>
        </w:rPr>
        <w:t>): it has the power to execute and deliver this Agreement, and subject to the satisfaction of the Conditions, perform its obligations under this Agreement.</w:t>
      </w:r>
    </w:p>
    <w:p>
      <w:pPr>
        <w:pStyle w:val="Heading 2 A"/>
        <w:numPr>
          <w:ilvl w:val="1"/>
          <w:numId w:val="4"/>
        </w:numPr>
        <w:bidi w:val="0"/>
        <w:rPr>
          <w:sz w:val="28"/>
          <w:szCs w:val="28"/>
        </w:rPr>
      </w:pPr>
      <w:bookmarkStart w:name="_Toc10" w:id="21"/>
      <w:bookmarkStart w:name="TOC486740702" w:id="22"/>
      <w:bookmarkEnd w:id="22"/>
      <w:r>
        <w:rPr>
          <w:rFonts w:ascii="Helvetica Neue" w:hAnsi="Helvetica Neue"/>
          <w:sz w:val="28"/>
          <w:szCs w:val="28"/>
          <w:rtl w:val="0"/>
          <w:lang w:val="en-US"/>
        </w:rPr>
        <w:t>C</w:t>
      </w:r>
      <w:r>
        <w:rPr>
          <w:rFonts w:ascii="Helvetica Neue" w:hAnsi="Helvetica Neue"/>
          <w:sz w:val="28"/>
          <w:szCs w:val="28"/>
          <w:rtl w:val="0"/>
          <w:lang w:val="en-US"/>
        </w:rPr>
        <w:t>ompany Warranties</w:t>
      </w:r>
      <w:bookmarkEnd w:id="21"/>
    </w:p>
    <w:p>
      <w:pPr>
        <w:pStyle w:val="CU_Number3"/>
        <w:numPr>
          <w:ilvl w:val="2"/>
          <w:numId w:val="9"/>
        </w:numPr>
        <w:bidi w:val="0"/>
        <w:rPr>
          <w:sz w:val="24"/>
          <w:szCs w:val="24"/>
        </w:rPr>
      </w:pPr>
      <w:r>
        <w:rPr>
          <w:rFonts w:ascii="Helvetica Neue" w:hAnsi="Helvetica Neue"/>
          <w:sz w:val="24"/>
          <w:szCs w:val="24"/>
          <w:rtl w:val="0"/>
          <w:lang w:val="en-US"/>
        </w:rPr>
        <w:t>If the Company allots and issues the New Shares pursuant to clauses 2.3 or 4(a) of this Agreement, then the Company will be taken to have represented and warranted to the Subscriber as at Subscription Completion that:</w:t>
      </w:r>
    </w:p>
    <w:p>
      <w:pPr>
        <w:pStyle w:val="CU_Number4"/>
        <w:numPr>
          <w:ilvl w:val="3"/>
          <w:numId w:val="9"/>
        </w:numPr>
        <w:bidi w:val="0"/>
        <w:rPr>
          <w:sz w:val="24"/>
          <w:szCs w:val="24"/>
        </w:rPr>
      </w:pPr>
      <w:r>
        <w:rPr>
          <w:rFonts w:ascii="Helvetica Neue" w:hAnsi="Helvetica Neue"/>
          <w:sz w:val="24"/>
          <w:szCs w:val="24"/>
          <w:rtl w:val="0"/>
          <w:lang w:val="en-US"/>
        </w:rPr>
        <w:t>the New Shares are free from any Encumbrance;</w:t>
      </w:r>
    </w:p>
    <w:p>
      <w:pPr>
        <w:pStyle w:val="CU_Number4"/>
        <w:numPr>
          <w:ilvl w:val="3"/>
          <w:numId w:val="9"/>
        </w:numPr>
        <w:bidi w:val="0"/>
        <w:rPr>
          <w:sz w:val="24"/>
          <w:szCs w:val="24"/>
        </w:rPr>
      </w:pPr>
      <w:r>
        <w:rPr>
          <w:rFonts w:ascii="Helvetica Neue" w:hAnsi="Helvetica Neue"/>
          <w:sz w:val="24"/>
          <w:szCs w:val="24"/>
          <w:rtl w:val="0"/>
          <w:lang w:val="en-US"/>
        </w:rPr>
        <w:t>the New Shares are fully paid up and have been duly allotted and issued in accordance with the constitution of the Company; and</w:t>
      </w:r>
    </w:p>
    <w:p>
      <w:pPr>
        <w:pStyle w:val="CU_Number4"/>
        <w:numPr>
          <w:ilvl w:val="3"/>
          <w:numId w:val="9"/>
        </w:numPr>
        <w:bidi w:val="0"/>
        <w:rPr>
          <w:sz w:val="24"/>
          <w:szCs w:val="24"/>
        </w:rPr>
      </w:pPr>
      <w:r>
        <w:rPr>
          <w:rFonts w:ascii="Helvetica Neue" w:hAnsi="Helvetica Neue"/>
          <w:sz w:val="24"/>
          <w:szCs w:val="24"/>
          <w:rtl w:val="0"/>
          <w:lang w:val="en-US"/>
        </w:rPr>
        <w:t>on Subscription Completion legal ownership in the New Shares will vest in the Subscriber.</w:t>
      </w:r>
    </w:p>
    <w:p>
      <w:pPr>
        <w:pStyle w:val="CU_Number4"/>
        <w:bidi w:val="0"/>
      </w:pPr>
    </w:p>
    <w:p>
      <w:pPr>
        <w:pStyle w:val="Heading 1 A"/>
        <w:numPr>
          <w:ilvl w:val="0"/>
          <w:numId w:val="10"/>
        </w:numPr>
        <w:rPr>
          <w:sz w:val="32"/>
          <w:szCs w:val="32"/>
        </w:rPr>
      </w:pPr>
      <w:bookmarkStart w:name="_Toc11" w:id="23"/>
      <w:bookmarkStart w:name="TOC486740703" w:id="24"/>
      <w:bookmarkEnd w:id="24"/>
      <w:r>
        <w:rPr>
          <w:rFonts w:ascii="Helvetica Neue" w:hAnsi="Helvetica Neue"/>
          <w:sz w:val="32"/>
          <w:szCs w:val="32"/>
          <w:rtl w:val="0"/>
          <w:lang w:val="en-US"/>
        </w:rPr>
        <w:t>G</w:t>
      </w:r>
      <w:r>
        <w:rPr>
          <w:rFonts w:ascii="Helvetica Neue" w:hAnsi="Helvetica Neue"/>
          <w:sz w:val="32"/>
          <w:szCs w:val="32"/>
          <w:rtl w:val="0"/>
          <w:lang w:val="en-US"/>
        </w:rPr>
        <w:t>eneral</w:t>
      </w:r>
      <w:bookmarkEnd w:id="23"/>
    </w:p>
    <w:p>
      <w:pPr>
        <w:pStyle w:val="IndentParaLevel1"/>
        <w:bidi w:val="0"/>
      </w:pPr>
      <w:r>
        <w:rPr>
          <w:rFonts w:ascii="Helvetica Neue" w:hAnsi="Helvetica Neue"/>
          <w:sz w:val="24"/>
          <w:szCs w:val="24"/>
          <w:rtl w:val="0"/>
          <w:lang w:val="en-US"/>
        </w:rPr>
        <w:t>Schedule 1 applies and forms part of this Agreement.</w:t>
      </w:r>
    </w:p>
    <w:p>
      <w:pPr>
        <w:pStyle w:val="Normal.0"/>
        <w:bidi w:val="0"/>
      </w:pPr>
      <w:r>
        <w:rPr>
          <w:rFonts w:ascii="Helvetica Neue" w:hAnsi="Helvetica Neue"/>
          <w:b w:val="1"/>
          <w:bCs w:val="1"/>
          <w:color w:val="000000"/>
          <w:sz w:val="24"/>
          <w:szCs w:val="24"/>
          <w:rtl w:val="0"/>
          <w:lang w:val="en-US"/>
        </w:rPr>
        <w:t xml:space="preserve">Signed </w:t>
      </w:r>
      <w:r>
        <w:rPr>
          <w:rFonts w:ascii="Helvetica Neue" w:hAnsi="Helvetica Neue"/>
          <w:color w:val="000000"/>
          <w:sz w:val="24"/>
          <w:szCs w:val="24"/>
          <w:rtl w:val="0"/>
          <w:lang w:val="en-US"/>
        </w:rPr>
        <w:t>as an agreement.</w:t>
      </w:r>
    </w:p>
    <w:tbl>
      <w:tblPr>
        <w:tblW w:w="5508"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788"/>
        <w:gridCol w:w="360"/>
        <w:gridCol w:w="360"/>
      </w:tblGrid>
      <w:tr>
        <w:tblPrEx>
          <w:shd w:val="clear" w:color="auto" w:fill="auto"/>
        </w:tblPrEx>
        <w:trPr>
          <w:trHeight w:val="2298" w:hRule="atLeast"/>
        </w:trPr>
        <w:tc>
          <w:tcPr>
            <w:tcW w:type="dxa" w:w="4788"/>
            <w:tcBorders>
              <w:top w:val="nil"/>
              <w:left w:val="nil"/>
              <w:bottom w:val="single" w:color="000000" w:sz="4" w:space="0" w:shadow="0" w:frame="0"/>
              <w:right w:val="nil"/>
            </w:tcBorders>
            <w:shd w:val="clear" w:color="auto" w:fill="auto"/>
            <w:tcMar>
              <w:top w:type="dxa" w:w="0"/>
              <w:left w:type="dxa" w:w="0"/>
              <w:bottom w:type="dxa" w:w="0"/>
              <w:right w:type="dxa" w:w="0"/>
            </w:tcMar>
            <w:vAlign w:val="top"/>
          </w:tcPr>
          <w:p>
            <w:pPr>
              <w:pStyle w:val="TableText"/>
              <w:keepNext w:val="1"/>
              <w:tabs>
                <w:tab w:val="left" w:pos="964"/>
                <w:tab w:val="left" w:pos="1928"/>
                <w:tab w:val="left" w:pos="2892"/>
                <w:tab w:val="left" w:pos="3856"/>
              </w:tabs>
              <w:rPr>
                <w:rFonts w:ascii="Helvetica Neue" w:cs="Helvetica Neue" w:hAnsi="Helvetica Neue" w:eastAsia="Helvetica Neue"/>
                <w:color w:val="000000"/>
                <w:sz w:val="24"/>
                <w:szCs w:val="24"/>
              </w:rPr>
            </w:pPr>
            <w:r>
              <w:rPr>
                <w:rFonts w:ascii="Helvetica Neue" w:hAnsi="Helvetica Neue"/>
                <w:b w:val="1"/>
                <w:bCs w:val="1"/>
                <w:color w:val="000000"/>
                <w:sz w:val="24"/>
                <w:szCs w:val="24"/>
                <w:rtl w:val="0"/>
                <w:lang w:val="en-US"/>
              </w:rPr>
              <w:t xml:space="preserve">Executed </w:t>
            </w:r>
            <w:r>
              <w:rPr>
                <w:rFonts w:ascii="Helvetica Neue" w:hAnsi="Helvetica Neue"/>
                <w:color w:val="000000"/>
                <w:sz w:val="24"/>
                <w:szCs w:val="24"/>
                <w:rtl w:val="0"/>
                <w:lang w:val="en-US"/>
              </w:rPr>
              <w:t xml:space="preserve">by </w:t>
            </w:r>
          </w:p>
          <w:p>
            <w:pPr>
              <w:pStyle w:val="TableText"/>
              <w:keepNext w:val="1"/>
              <w:tabs>
                <w:tab w:val="left" w:pos="964"/>
                <w:tab w:val="left" w:pos="1928"/>
                <w:tab w:val="left" w:pos="2892"/>
                <w:tab w:val="left" w:pos="3856"/>
              </w:tabs>
              <w:rPr>
                <w:rFonts w:ascii="Helvetica Neue" w:cs="Helvetica Neue" w:hAnsi="Helvetica Neue" w:eastAsia="Helvetica Neue"/>
                <w:b w:val="1"/>
                <w:bCs w:val="1"/>
                <w:sz w:val="24"/>
                <w:szCs w:val="24"/>
              </w:rPr>
            </w:pPr>
            <w:r>
              <w:rPr>
                <w:rFonts w:ascii="Helvetica Neue" w:hAnsi="Helvetica Neue"/>
                <w:b w:val="1"/>
                <w:bCs w:val="1"/>
                <w:sz w:val="24"/>
                <w:szCs w:val="24"/>
                <w:rtl w:val="0"/>
                <w:lang w:val="en-US"/>
              </w:rPr>
              <w:t xml:space="preserve">PAYYAP LLC  </w:t>
            </w:r>
          </w:p>
          <w:p>
            <w:pPr>
              <w:pStyle w:val="TableText"/>
              <w:keepNext w:val="1"/>
              <w:tabs>
                <w:tab w:val="left" w:pos="964"/>
                <w:tab w:val="left" w:pos="1928"/>
                <w:tab w:val="left" w:pos="2892"/>
                <w:tab w:val="left" w:pos="3856"/>
              </w:tabs>
              <w:rPr>
                <w:rFonts w:ascii="Helvetica Neue" w:cs="Helvetica Neue" w:hAnsi="Helvetica Neue" w:eastAsia="Helvetica Neue"/>
                <w:b w:val="1"/>
                <w:bCs w:val="1"/>
                <w:color w:val="000000"/>
                <w:sz w:val="24"/>
                <w:szCs w:val="24"/>
              </w:rPr>
            </w:pPr>
            <w:r>
              <w:rPr>
                <w:rFonts w:ascii="Helvetica Neue" w:hAnsi="Helvetica Neue"/>
                <w:b w:val="1"/>
                <w:bCs w:val="1"/>
                <w:sz w:val="24"/>
                <w:szCs w:val="24"/>
                <w:rtl w:val="0"/>
                <w:lang w:val="en-US"/>
              </w:rPr>
              <w:t>[US EIN: 45-2502029]</w:t>
            </w:r>
            <w:r>
              <w:rPr>
                <w:rFonts w:ascii="Helvetica Neue" w:hAnsi="Helvetica Neue"/>
                <w:color w:val="000000"/>
                <w:sz w:val="24"/>
                <w:szCs w:val="24"/>
                <w:rtl w:val="0"/>
                <w:lang w:val="en-US"/>
              </w:rPr>
              <w:t xml:space="preserve"> </w:t>
            </w:r>
          </w:p>
          <w:p>
            <w:pPr>
              <w:pStyle w:val="TableText"/>
              <w:keepNext w:val="1"/>
              <w:tabs>
                <w:tab w:val="left" w:pos="964"/>
                <w:tab w:val="left" w:pos="1928"/>
                <w:tab w:val="left" w:pos="2892"/>
                <w:tab w:val="left" w:pos="3856"/>
              </w:tabs>
              <w:rPr>
                <w:rFonts w:ascii="Helvetica Neue" w:cs="Helvetica Neue" w:hAnsi="Helvetica Neue" w:eastAsia="Helvetica Neue"/>
                <w:color w:val="000000"/>
                <w:sz w:val="24"/>
                <w:szCs w:val="24"/>
              </w:rPr>
            </w:pPr>
            <w:r>
              <w:rPr>
                <w:rFonts w:ascii="Helvetica Neue" w:hAnsi="Helvetica Neue"/>
                <w:color w:val="000000"/>
                <w:sz w:val="24"/>
                <w:szCs w:val="24"/>
                <w:rtl w:val="0"/>
                <w:lang w:val="en-US"/>
              </w:rPr>
              <w:t>by or in the presence of:</w:t>
            </w:r>
          </w:p>
          <w:p>
            <w:pPr>
              <w:pStyle w:val="TableText"/>
              <w:keepNext w:val="1"/>
              <w:tabs>
                <w:tab w:val="left" w:pos="964"/>
                <w:tab w:val="left" w:pos="1928"/>
                <w:tab w:val="left" w:pos="2892"/>
                <w:tab w:val="left" w:pos="3856"/>
              </w:tabs>
              <w:rPr>
                <w:rFonts w:ascii="Helvetica Neue" w:cs="Helvetica Neue" w:hAnsi="Helvetica Neue" w:eastAsia="Helvetica Neue"/>
                <w:color w:val="000000"/>
                <w:sz w:val="24"/>
                <w:szCs w:val="24"/>
              </w:rPr>
            </w:pPr>
          </w:p>
          <w:p>
            <w:pPr>
              <w:pStyle w:val="TableText"/>
              <w:keepNext w:val="1"/>
              <w:tabs>
                <w:tab w:val="left" w:pos="964"/>
                <w:tab w:val="left" w:pos="1928"/>
                <w:tab w:val="left" w:pos="2892"/>
                <w:tab w:val="left" w:pos="3856"/>
              </w:tabs>
              <w:rPr>
                <w:rFonts w:ascii="Helvetica Neue" w:cs="Helvetica Neue" w:hAnsi="Helvetica Neue" w:eastAsia="Helvetica Neue"/>
                <w:color w:val="000000"/>
                <w:sz w:val="24"/>
                <w:szCs w:val="24"/>
              </w:rPr>
            </w:pPr>
          </w:p>
          <w:p>
            <w:pPr>
              <w:pStyle w:val="TableText"/>
              <w:keepNext w:val="1"/>
              <w:tabs>
                <w:tab w:val="left" w:pos="964"/>
                <w:tab w:val="left" w:pos="1928"/>
                <w:tab w:val="left" w:pos="2892"/>
                <w:tab w:val="left" w:pos="3856"/>
              </w:tabs>
            </w:pPr>
            <w:r>
              <w:rPr>
                <w:rFonts w:ascii="Helvetica Neue" w:cs="Helvetica Neue" w:hAnsi="Helvetica Neue" w:eastAsia="Helvetica Neue"/>
                <w:color w:val="000000"/>
                <w:sz w:val="24"/>
                <w:szCs w:val="24"/>
              </w:rPr>
            </w:r>
          </w:p>
        </w:tc>
        <w:tc>
          <w:tcPr>
            <w:tcW w:type="dxa" w:w="360"/>
            <w:vMerge w:val="restart"/>
            <w:tcBorders>
              <w:top w:val="nil"/>
              <w:left w:val="nil"/>
              <w:bottom w:val="nil"/>
              <w:right w:val="single" w:color="000000" w:sz="4" w:space="0" w:shadow="0" w:frame="0"/>
            </w:tcBorders>
            <w:shd w:val="clear" w:color="auto" w:fill="auto"/>
            <w:tcMar>
              <w:top w:type="dxa" w:w="0"/>
              <w:left w:type="dxa" w:w="0"/>
              <w:bottom w:type="dxa" w:w="0"/>
              <w:right w:type="dxa" w:w="0"/>
            </w:tcMar>
            <w:vAlign w:val="top"/>
          </w:tcPr>
          <w:p/>
        </w:tc>
        <w:tc>
          <w:tcPr>
            <w:tcW w:type="dxa" w:w="360"/>
            <w:vMerge w:val="restart"/>
            <w:tcBorders>
              <w:top w:val="nil"/>
              <w:left w:val="single" w:color="000000" w:sz="4" w:space="0" w:shadow="0" w:frame="0"/>
              <w:bottom w:val="nil"/>
              <w:right w:val="nil"/>
            </w:tcBorders>
            <w:shd w:val="clear" w:color="auto" w:fill="auto"/>
            <w:tcMar>
              <w:top w:type="dxa" w:w="0"/>
              <w:left w:type="dxa" w:w="0"/>
              <w:bottom w:type="dxa" w:w="0"/>
              <w:right w:type="dxa" w:w="0"/>
            </w:tcMar>
            <w:vAlign w:val="top"/>
          </w:tcPr>
          <w:p/>
        </w:tc>
      </w:tr>
      <w:tr>
        <w:tblPrEx>
          <w:shd w:val="clear" w:color="auto" w:fill="auto"/>
        </w:tblPrEx>
        <w:trPr>
          <w:trHeight w:val="1010" w:hRule="atLeast"/>
        </w:trPr>
        <w:tc>
          <w:tcPr>
            <w:tcW w:type="dxa" w:w="4788"/>
            <w:tcBorders>
              <w:top w:val="single" w:color="000000" w:sz="4" w:space="0" w:shadow="0" w:frame="0"/>
              <w:left w:val="nil"/>
              <w:bottom w:val="single" w:color="000000" w:sz="4" w:space="0" w:shadow="0" w:frame="0"/>
              <w:right w:val="nil"/>
            </w:tcBorders>
            <w:shd w:val="clear" w:color="auto" w:fill="auto"/>
            <w:tcMar>
              <w:top w:type="dxa" w:w="0"/>
              <w:left w:type="dxa" w:w="0"/>
              <w:bottom w:type="dxa" w:w="0"/>
              <w:right w:type="dxa" w:w="0"/>
            </w:tcMar>
            <w:vAlign w:val="top"/>
          </w:tcPr>
          <w:p>
            <w:pPr>
              <w:pStyle w:val="TableText"/>
              <w:keepNext w:val="1"/>
              <w:tabs>
                <w:tab w:val="left" w:pos="964"/>
                <w:tab w:val="left" w:pos="1928"/>
                <w:tab w:val="left" w:pos="2892"/>
                <w:tab w:val="left" w:pos="3856"/>
              </w:tabs>
              <w:rPr>
                <w:rFonts w:ascii="Helvetica Neue" w:cs="Helvetica Neue" w:hAnsi="Helvetica Neue" w:eastAsia="Helvetica Neue"/>
                <w:color w:val="000000"/>
                <w:sz w:val="22"/>
                <w:szCs w:val="22"/>
              </w:rPr>
            </w:pPr>
            <w:r>
              <w:rPr>
                <w:rFonts w:ascii="Helvetica Neue" w:hAnsi="Helvetica Neue"/>
                <w:color w:val="000000"/>
                <w:sz w:val="22"/>
                <w:szCs w:val="22"/>
                <w:rtl w:val="0"/>
                <w:lang w:val="en-US"/>
              </w:rPr>
              <w:t>Signature of Director</w:t>
            </w:r>
          </w:p>
          <w:p>
            <w:pPr>
              <w:pStyle w:val="TableText"/>
              <w:keepNext w:val="1"/>
              <w:tabs>
                <w:tab w:val="left" w:pos="964"/>
                <w:tab w:val="left" w:pos="1928"/>
                <w:tab w:val="left" w:pos="2892"/>
                <w:tab w:val="left" w:pos="3856"/>
              </w:tabs>
              <w:rPr>
                <w:rFonts w:ascii="Helvetica Neue" w:cs="Helvetica Neue" w:hAnsi="Helvetica Neue" w:eastAsia="Helvetica Neue"/>
                <w:color w:val="000000"/>
                <w:sz w:val="22"/>
                <w:szCs w:val="22"/>
              </w:rPr>
            </w:pPr>
          </w:p>
          <w:p>
            <w:pPr>
              <w:pStyle w:val="TableText"/>
              <w:keepNext w:val="1"/>
              <w:tabs>
                <w:tab w:val="left" w:pos="964"/>
                <w:tab w:val="left" w:pos="1928"/>
                <w:tab w:val="left" w:pos="2892"/>
                <w:tab w:val="left" w:pos="3856"/>
              </w:tabs>
              <w:rPr>
                <w:rFonts w:ascii="Helvetica Neue" w:cs="Helvetica Neue" w:hAnsi="Helvetica Neue" w:eastAsia="Helvetica Neue"/>
                <w:color w:val="000000"/>
                <w:sz w:val="22"/>
                <w:szCs w:val="22"/>
              </w:rPr>
            </w:pPr>
          </w:p>
          <w:p>
            <w:pPr>
              <w:pStyle w:val="TableText"/>
              <w:keepNext w:val="1"/>
              <w:tabs>
                <w:tab w:val="left" w:pos="964"/>
                <w:tab w:val="left" w:pos="1928"/>
                <w:tab w:val="left" w:pos="2892"/>
                <w:tab w:val="left" w:pos="3856"/>
              </w:tabs>
            </w:pPr>
            <w:r>
              <w:rPr>
                <w:rFonts w:ascii="Helvetica Neue" w:hAnsi="Helvetica Neue"/>
                <w:color w:val="000000"/>
                <w:sz w:val="24"/>
                <w:szCs w:val="24"/>
                <w:rtl w:val="0"/>
                <w:lang w:val="en-US"/>
              </w:rPr>
              <w:t>Shea Writer</w:t>
            </w:r>
          </w:p>
        </w:tc>
        <w:tc>
          <w:tcPr>
            <w:tcW w:type="dxa" w:w="360"/>
            <w:vMerge w:val="continue"/>
            <w:tcBorders>
              <w:top w:val="nil"/>
              <w:left w:val="nil"/>
              <w:bottom w:val="nil"/>
              <w:right w:val="single" w:color="000000" w:sz="4" w:space="0" w:shadow="0" w:frame="0"/>
            </w:tcBorders>
            <w:shd w:val="clear" w:color="auto" w:fill="auto"/>
          </w:tcPr>
          <w:p/>
        </w:tc>
        <w:tc>
          <w:tcPr>
            <w:tcW w:type="dxa" w:w="360"/>
            <w:vMerge w:val="continue"/>
            <w:tcBorders>
              <w:top w:val="nil"/>
              <w:left w:val="single" w:color="000000" w:sz="4" w:space="0" w:shadow="0" w:frame="0"/>
              <w:bottom w:val="nil"/>
              <w:right w:val="nil"/>
            </w:tcBorders>
            <w:shd w:val="clear" w:color="auto" w:fill="auto"/>
          </w:tcPr>
          <w:p/>
        </w:tc>
      </w:tr>
      <w:tr>
        <w:tblPrEx>
          <w:shd w:val="clear" w:color="auto" w:fill="auto"/>
        </w:tblPrEx>
        <w:trPr>
          <w:trHeight w:val="340" w:hRule="atLeast"/>
        </w:trPr>
        <w:tc>
          <w:tcPr>
            <w:tcW w:type="dxa" w:w="4788"/>
            <w:tcBorders>
              <w:top w:val="single" w:color="000000" w:sz="4" w:space="0" w:shadow="0" w:frame="0"/>
              <w:left w:val="nil"/>
              <w:bottom w:val="nil"/>
              <w:right w:val="nil"/>
            </w:tcBorders>
            <w:shd w:val="clear" w:color="auto" w:fill="auto"/>
            <w:tcMar>
              <w:top w:type="dxa" w:w="0"/>
              <w:left w:type="dxa" w:w="0"/>
              <w:bottom w:type="dxa" w:w="0"/>
              <w:right w:type="dxa" w:w="0"/>
            </w:tcMar>
            <w:vAlign w:val="top"/>
          </w:tcPr>
          <w:p>
            <w:pPr>
              <w:pStyle w:val="Free Form"/>
              <w:widowControl w:val="0"/>
              <w:tabs>
                <w:tab w:val="left" w:pos="964"/>
                <w:tab w:val="left" w:pos="1928"/>
                <w:tab w:val="left" w:pos="2892"/>
                <w:tab w:val="left" w:pos="3856"/>
              </w:tabs>
            </w:pPr>
            <w:r>
              <w:rPr>
                <w:rFonts w:ascii="Helvetica Neue" w:hAnsi="Helvetica Neue"/>
                <w:color w:val="000000"/>
                <w:sz w:val="22"/>
                <w:szCs w:val="22"/>
                <w:rtl w:val="0"/>
                <w:lang w:val="en-US"/>
              </w:rPr>
              <w:t>Name of Director in full</w:t>
            </w:r>
          </w:p>
        </w:tc>
        <w:tc>
          <w:tcPr>
            <w:tcW w:type="dxa" w:w="360"/>
            <w:vMerge w:val="continue"/>
            <w:tcBorders>
              <w:top w:val="nil"/>
              <w:left w:val="nil"/>
              <w:bottom w:val="nil"/>
              <w:right w:val="single" w:color="000000" w:sz="4" w:space="0" w:shadow="0" w:frame="0"/>
            </w:tcBorders>
            <w:shd w:val="clear" w:color="auto" w:fill="auto"/>
          </w:tcPr>
          <w:p/>
        </w:tc>
        <w:tc>
          <w:tcPr>
            <w:tcW w:type="dxa" w:w="360"/>
            <w:vMerge w:val="continue"/>
            <w:tcBorders>
              <w:top w:val="nil"/>
              <w:left w:val="single" w:color="000000" w:sz="4" w:space="0" w:shadow="0" w:frame="0"/>
              <w:bottom w:val="nil"/>
              <w:right w:val="nil"/>
            </w:tcBorders>
            <w:shd w:val="clear" w:color="auto" w:fill="auto"/>
          </w:tcPr>
          <w:p/>
        </w:tc>
      </w:tr>
    </w:tbl>
    <w:p>
      <w:pPr>
        <w:pStyle w:val="Free Form"/>
        <w:bidi w:val="0"/>
      </w:pPr>
    </w:p>
    <w:p>
      <w:pPr>
        <w:pStyle w:val="Normal.0"/>
        <w:tabs>
          <w:tab w:val="left" w:pos="964"/>
          <w:tab w:val="left" w:pos="1928"/>
          <w:tab w:val="left" w:pos="2892"/>
          <w:tab w:val="left" w:pos="3856"/>
          <w:tab w:val="left" w:pos="4820"/>
          <w:tab w:val="left" w:pos="5784"/>
          <w:tab w:val="left" w:pos="6748"/>
          <w:tab w:val="left" w:pos="7712"/>
          <w:tab w:val="left" w:pos="8676"/>
        </w:tabs>
      </w:pPr>
    </w:p>
    <w:tbl>
      <w:tblPr>
        <w:tblW w:w="5508"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44"/>
        <w:gridCol w:w="504"/>
        <w:gridCol w:w="360"/>
      </w:tblGrid>
      <w:tr>
        <w:tblPrEx>
          <w:shd w:val="clear" w:color="auto" w:fill="auto"/>
        </w:tblPrEx>
        <w:trPr>
          <w:trHeight w:val="2013" w:hRule="atLeast"/>
        </w:trPr>
        <w:tc>
          <w:tcPr>
            <w:tcW w:type="dxa" w:w="4644"/>
            <w:tcBorders>
              <w:top w:val="nil"/>
              <w:left w:val="nil"/>
              <w:bottom w:val="nil"/>
              <w:right w:val="nil"/>
            </w:tcBorders>
            <w:shd w:val="clear" w:color="auto" w:fill="auto"/>
            <w:tcMar>
              <w:top w:type="dxa" w:w="0"/>
              <w:left w:type="dxa" w:w="0"/>
              <w:bottom w:type="dxa" w:w="0"/>
              <w:right w:type="dxa" w:w="0"/>
            </w:tcMar>
            <w:vAlign w:val="top"/>
          </w:tcPr>
          <w:p>
            <w:pPr>
              <w:pStyle w:val="TableText"/>
              <w:keepNext w:val="1"/>
              <w:tabs>
                <w:tab w:val="left" w:pos="964"/>
                <w:tab w:val="left" w:pos="1928"/>
                <w:tab w:val="left" w:pos="2892"/>
                <w:tab w:val="left" w:pos="3856"/>
              </w:tabs>
              <w:rPr>
                <w:rFonts w:ascii="Helvetica Neue" w:cs="Helvetica Neue" w:hAnsi="Helvetica Neue" w:eastAsia="Helvetica Neue"/>
                <w:color w:val="000000"/>
                <w:sz w:val="24"/>
                <w:szCs w:val="24"/>
              </w:rPr>
            </w:pPr>
            <w:r>
              <w:rPr>
                <w:rFonts w:ascii="Helvetica Neue" w:hAnsi="Helvetica Neue"/>
                <w:b w:val="1"/>
                <w:bCs w:val="1"/>
                <w:color w:val="000000"/>
                <w:sz w:val="24"/>
                <w:szCs w:val="24"/>
                <w:rtl w:val="0"/>
                <w:lang w:val="en-US"/>
              </w:rPr>
              <w:t xml:space="preserve">Executed </w:t>
            </w:r>
            <w:r>
              <w:rPr>
                <w:rFonts w:ascii="Helvetica Neue" w:hAnsi="Helvetica Neue"/>
                <w:color w:val="000000"/>
                <w:sz w:val="24"/>
                <w:szCs w:val="24"/>
                <w:rtl w:val="0"/>
                <w:lang w:val="en-US"/>
              </w:rPr>
              <w:t>by:</w:t>
            </w:r>
          </w:p>
          <w:p>
            <w:pPr>
              <w:pStyle w:val="TableText"/>
              <w:keepNext w:val="1"/>
              <w:tabs>
                <w:tab w:val="left" w:pos="964"/>
                <w:tab w:val="left" w:pos="1928"/>
                <w:tab w:val="left" w:pos="2892"/>
                <w:tab w:val="left" w:pos="3856"/>
              </w:tabs>
              <w:rPr>
                <w:rFonts w:ascii="Helvetica Neue" w:cs="Helvetica Neue" w:hAnsi="Helvetica Neue" w:eastAsia="Helvetica Neue"/>
                <w:b w:val="1"/>
                <w:bCs w:val="1"/>
                <w:sz w:val="24"/>
                <w:szCs w:val="24"/>
              </w:rPr>
            </w:pPr>
            <w:r>
              <w:rPr>
                <w:rFonts w:ascii="Helvetica Neue" w:hAnsi="Helvetica Neue"/>
                <w:b w:val="1"/>
                <w:bCs w:val="1"/>
                <w:sz w:val="24"/>
                <w:szCs w:val="24"/>
                <w:rtl w:val="0"/>
                <w:lang w:val="en-US"/>
              </w:rPr>
              <w:t>VERGENT CAPITAL LLC</w:t>
            </w:r>
          </w:p>
          <w:p>
            <w:pPr>
              <w:pStyle w:val="TableText"/>
              <w:keepNext w:val="1"/>
              <w:tabs>
                <w:tab w:val="left" w:pos="964"/>
                <w:tab w:val="left" w:pos="1928"/>
                <w:tab w:val="left" w:pos="2892"/>
                <w:tab w:val="left" w:pos="3856"/>
              </w:tabs>
              <w:rPr>
                <w:rFonts w:ascii="Helvetica Neue" w:cs="Helvetica Neue" w:hAnsi="Helvetica Neue" w:eastAsia="Helvetica Neue"/>
                <w:b w:val="1"/>
                <w:bCs w:val="1"/>
                <w:color w:val="000000"/>
                <w:sz w:val="24"/>
                <w:szCs w:val="24"/>
              </w:rPr>
            </w:pPr>
            <w:r>
              <w:rPr>
                <w:rFonts w:ascii="Helvetica Neue" w:hAnsi="Helvetica Neue"/>
                <w:b w:val="1"/>
                <w:bCs w:val="1"/>
                <w:sz w:val="24"/>
                <w:szCs w:val="24"/>
                <w:rtl w:val="0"/>
                <w:lang w:val="en-US"/>
              </w:rPr>
              <w:t>[</w:t>
            </w:r>
            <w:r>
              <w:rPr>
                <w:rFonts w:ascii="Helvetica Neue" w:hAnsi="Helvetica Neue"/>
                <w:b w:val="1"/>
                <w:bCs w:val="1"/>
                <w:sz w:val="24"/>
                <w:szCs w:val="24"/>
                <w:rtl w:val="0"/>
                <w:lang w:val="en-US"/>
              </w:rPr>
              <w:t>US EIN: ____________________________</w:t>
            </w:r>
            <w:r>
              <w:rPr>
                <w:rFonts w:ascii="Helvetica Neue" w:hAnsi="Helvetica Neue"/>
                <w:b w:val="1"/>
                <w:bCs w:val="1"/>
                <w:sz w:val="24"/>
                <w:szCs w:val="24"/>
                <w:rtl w:val="0"/>
                <w:lang w:val="en-US"/>
              </w:rPr>
              <w:t>]</w:t>
            </w:r>
          </w:p>
          <w:p>
            <w:pPr>
              <w:pStyle w:val="TableText"/>
              <w:keepNext w:val="1"/>
              <w:tabs>
                <w:tab w:val="left" w:pos="964"/>
                <w:tab w:val="left" w:pos="1928"/>
                <w:tab w:val="left" w:pos="2892"/>
                <w:tab w:val="left" w:pos="3856"/>
              </w:tabs>
              <w:rPr>
                <w:rFonts w:ascii="Helvetica Neue" w:cs="Helvetica Neue" w:hAnsi="Helvetica Neue" w:eastAsia="Helvetica Neue"/>
                <w:b w:val="1"/>
                <w:bCs w:val="1"/>
                <w:color w:val="000000"/>
                <w:sz w:val="24"/>
                <w:szCs w:val="24"/>
              </w:rPr>
            </w:pPr>
            <w:r>
              <w:rPr>
                <w:rFonts w:ascii="Helvetica Neue" w:hAnsi="Helvetica Neue"/>
                <w:color w:val="000000"/>
                <w:sz w:val="24"/>
                <w:szCs w:val="24"/>
                <w:rtl w:val="0"/>
                <w:lang w:val="en-US"/>
              </w:rPr>
              <w:t>by or in the presence of:</w:t>
            </w:r>
          </w:p>
          <w:p>
            <w:pPr>
              <w:pStyle w:val="TableText"/>
              <w:keepNext w:val="1"/>
              <w:tabs>
                <w:tab w:val="left" w:pos="964"/>
                <w:tab w:val="left" w:pos="1928"/>
                <w:tab w:val="left" w:pos="2892"/>
                <w:tab w:val="left" w:pos="3856"/>
              </w:tabs>
              <w:rPr>
                <w:rFonts w:ascii="Helvetica Neue" w:cs="Helvetica Neue" w:hAnsi="Helvetica Neue" w:eastAsia="Helvetica Neue"/>
                <w:color w:val="000000"/>
                <w:sz w:val="24"/>
                <w:szCs w:val="24"/>
              </w:rPr>
            </w:pPr>
          </w:p>
          <w:p>
            <w:pPr>
              <w:pStyle w:val="TableText"/>
              <w:keepNext w:val="1"/>
              <w:tabs>
                <w:tab w:val="left" w:pos="964"/>
                <w:tab w:val="left" w:pos="1928"/>
                <w:tab w:val="left" w:pos="2892"/>
                <w:tab w:val="left" w:pos="3856"/>
              </w:tabs>
            </w:pPr>
            <w:r>
              <w:rPr>
                <w:rFonts w:ascii="Helvetica Neue" w:cs="Helvetica Neue" w:hAnsi="Helvetica Neue" w:eastAsia="Helvetica Neue"/>
                <w:color w:val="000000"/>
                <w:sz w:val="24"/>
                <w:szCs w:val="24"/>
              </w:rPr>
            </w:r>
          </w:p>
        </w:tc>
        <w:tc>
          <w:tcPr>
            <w:tcW w:type="dxa" w:w="504"/>
            <w:vMerge w:val="restart"/>
            <w:tcBorders>
              <w:top w:val="nil"/>
              <w:left w:val="nil"/>
              <w:bottom w:val="nil"/>
              <w:right w:val="single" w:color="000000" w:sz="4" w:space="0" w:shadow="0" w:frame="0"/>
            </w:tcBorders>
            <w:shd w:val="clear" w:color="auto" w:fill="auto"/>
            <w:tcMar>
              <w:top w:type="dxa" w:w="0"/>
              <w:left w:type="dxa" w:w="0"/>
              <w:bottom w:type="dxa" w:w="0"/>
              <w:right w:type="dxa" w:w="0"/>
            </w:tcMar>
            <w:vAlign w:val="top"/>
          </w:tcPr>
          <w:p/>
        </w:tc>
        <w:tc>
          <w:tcPr>
            <w:tcW w:type="dxa" w:w="360"/>
            <w:vMerge w:val="restart"/>
            <w:tcBorders>
              <w:top w:val="nil"/>
              <w:left w:val="single" w:color="000000" w:sz="4" w:space="0" w:shadow="0" w:frame="0"/>
              <w:bottom w:val="nil"/>
              <w:right w:val="nil"/>
            </w:tcBorders>
            <w:shd w:val="clear" w:color="auto" w:fill="auto"/>
            <w:tcMar>
              <w:top w:type="dxa" w:w="0"/>
              <w:left w:type="dxa" w:w="0"/>
              <w:bottom w:type="dxa" w:w="0"/>
              <w:right w:type="dxa" w:w="0"/>
            </w:tcMar>
            <w:vAlign w:val="top"/>
          </w:tcPr>
          <w:p/>
        </w:tc>
      </w:tr>
      <w:tr>
        <w:tblPrEx>
          <w:shd w:val="clear" w:color="auto" w:fill="auto"/>
        </w:tblPrEx>
        <w:trPr>
          <w:trHeight w:val="360" w:hRule="atLeast"/>
        </w:trPr>
        <w:tc>
          <w:tcPr>
            <w:tcW w:type="dxa" w:w="4644"/>
            <w:tcBorders>
              <w:top w:val="nil"/>
              <w:left w:val="nil"/>
              <w:bottom w:val="single" w:color="000000" w:sz="4" w:space="0" w:shadow="0" w:frame="0"/>
              <w:right w:val="nil"/>
            </w:tcBorders>
            <w:shd w:val="clear" w:color="auto" w:fill="auto"/>
            <w:tcMar>
              <w:top w:type="dxa" w:w="0"/>
              <w:left w:type="dxa" w:w="0"/>
              <w:bottom w:type="dxa" w:w="0"/>
              <w:right w:type="dxa" w:w="0"/>
            </w:tcMar>
            <w:vAlign w:val="top"/>
          </w:tcPr>
          <w:p/>
        </w:tc>
        <w:tc>
          <w:tcPr>
            <w:tcW w:type="dxa" w:w="504"/>
            <w:vMerge w:val="continue"/>
            <w:tcBorders>
              <w:top w:val="nil"/>
              <w:left w:val="nil"/>
              <w:bottom w:val="nil"/>
              <w:right w:val="single" w:color="000000" w:sz="4" w:space="0" w:shadow="0" w:frame="0"/>
            </w:tcBorders>
            <w:shd w:val="clear" w:color="auto" w:fill="auto"/>
          </w:tcPr>
          <w:p/>
        </w:tc>
        <w:tc>
          <w:tcPr>
            <w:tcW w:type="dxa" w:w="360"/>
            <w:vMerge w:val="continue"/>
            <w:tcBorders>
              <w:top w:val="nil"/>
              <w:left w:val="single" w:color="000000" w:sz="4" w:space="0" w:shadow="0" w:frame="0"/>
              <w:bottom w:val="nil"/>
              <w:right w:val="nil"/>
            </w:tcBorders>
            <w:shd w:val="clear" w:color="auto" w:fill="auto"/>
          </w:tcPr>
          <w:p/>
        </w:tc>
      </w:tr>
      <w:tr>
        <w:tblPrEx>
          <w:shd w:val="clear" w:color="auto" w:fill="auto"/>
        </w:tblPrEx>
        <w:trPr>
          <w:trHeight w:val="974" w:hRule="atLeast"/>
        </w:trPr>
        <w:tc>
          <w:tcPr>
            <w:tcW w:type="dxa" w:w="4644"/>
            <w:tcBorders>
              <w:top w:val="single" w:color="000000" w:sz="4" w:space="0" w:shadow="0" w:frame="0"/>
              <w:left w:val="nil"/>
              <w:bottom w:val="single" w:color="000000" w:sz="4" w:space="0" w:shadow="0" w:frame="0"/>
              <w:right w:val="nil"/>
            </w:tcBorders>
            <w:shd w:val="clear" w:color="auto" w:fill="auto"/>
            <w:tcMar>
              <w:top w:type="dxa" w:w="0"/>
              <w:left w:type="dxa" w:w="0"/>
              <w:bottom w:type="dxa" w:w="0"/>
              <w:right w:type="dxa" w:w="0"/>
            </w:tcMar>
            <w:vAlign w:val="top"/>
          </w:tcPr>
          <w:p>
            <w:pPr>
              <w:pStyle w:val="Free Form"/>
              <w:keepNext w:val="1"/>
              <w:widowControl w:val="0"/>
              <w:tabs>
                <w:tab w:val="left" w:pos="964"/>
                <w:tab w:val="left" w:pos="1928"/>
                <w:tab w:val="left" w:pos="2892"/>
                <w:tab w:val="left" w:pos="3856"/>
              </w:tabs>
            </w:pPr>
            <w:r>
              <w:rPr>
                <w:rFonts w:ascii="Helvetica Neue" w:hAnsi="Helvetica Neue"/>
                <w:color w:val="000000"/>
                <w:sz w:val="22"/>
                <w:szCs w:val="22"/>
                <w:rtl w:val="0"/>
                <w:lang w:val="en-US"/>
              </w:rPr>
              <w:t>Signature of Representative</w:t>
            </w:r>
          </w:p>
        </w:tc>
        <w:tc>
          <w:tcPr>
            <w:tcW w:type="dxa" w:w="504"/>
            <w:vMerge w:val="continue"/>
            <w:tcBorders>
              <w:top w:val="nil"/>
              <w:left w:val="nil"/>
              <w:bottom w:val="nil"/>
              <w:right w:val="single" w:color="000000" w:sz="4" w:space="0" w:shadow="0" w:frame="0"/>
            </w:tcBorders>
            <w:shd w:val="clear" w:color="auto" w:fill="auto"/>
          </w:tcPr>
          <w:p/>
        </w:tc>
        <w:tc>
          <w:tcPr>
            <w:tcW w:type="dxa" w:w="360"/>
            <w:vMerge w:val="continue"/>
            <w:tcBorders>
              <w:top w:val="nil"/>
              <w:left w:val="single" w:color="000000" w:sz="4" w:space="0" w:shadow="0" w:frame="0"/>
              <w:bottom w:val="nil"/>
              <w:right w:val="nil"/>
            </w:tcBorders>
            <w:shd w:val="clear" w:color="auto" w:fill="auto"/>
          </w:tcPr>
          <w:p/>
        </w:tc>
      </w:tr>
      <w:tr>
        <w:tblPrEx>
          <w:shd w:val="clear" w:color="auto" w:fill="auto"/>
        </w:tblPrEx>
        <w:trPr>
          <w:trHeight w:val="340" w:hRule="atLeast"/>
        </w:trPr>
        <w:tc>
          <w:tcPr>
            <w:tcW w:type="dxa" w:w="4644"/>
            <w:tcBorders>
              <w:top w:val="single" w:color="000000" w:sz="4" w:space="0" w:shadow="0" w:frame="0"/>
              <w:left w:val="nil"/>
              <w:bottom w:val="nil"/>
              <w:right w:val="nil"/>
            </w:tcBorders>
            <w:shd w:val="clear" w:color="auto" w:fill="auto"/>
            <w:tcMar>
              <w:top w:type="dxa" w:w="0"/>
              <w:left w:type="dxa" w:w="0"/>
              <w:bottom w:type="dxa" w:w="0"/>
              <w:right w:type="dxa" w:w="0"/>
            </w:tcMar>
            <w:vAlign w:val="top"/>
          </w:tcPr>
          <w:p>
            <w:pPr>
              <w:pStyle w:val="Free Form"/>
              <w:widowControl w:val="0"/>
              <w:tabs>
                <w:tab w:val="left" w:pos="964"/>
                <w:tab w:val="left" w:pos="1928"/>
                <w:tab w:val="left" w:pos="2892"/>
                <w:tab w:val="left" w:pos="3856"/>
              </w:tabs>
            </w:pPr>
            <w:r>
              <w:rPr>
                <w:rFonts w:ascii="Helvetica Neue" w:hAnsi="Helvetica Neue"/>
                <w:color w:val="000000"/>
                <w:sz w:val="22"/>
                <w:szCs w:val="22"/>
                <w:rtl w:val="0"/>
                <w:lang w:val="en-US"/>
              </w:rPr>
              <w:t>Name of Representative in full</w:t>
            </w:r>
          </w:p>
        </w:tc>
        <w:tc>
          <w:tcPr>
            <w:tcW w:type="dxa" w:w="504"/>
            <w:vMerge w:val="continue"/>
            <w:tcBorders>
              <w:top w:val="nil"/>
              <w:left w:val="nil"/>
              <w:bottom w:val="nil"/>
              <w:right w:val="single" w:color="000000" w:sz="4" w:space="0" w:shadow="0" w:frame="0"/>
            </w:tcBorders>
            <w:shd w:val="clear" w:color="auto" w:fill="auto"/>
          </w:tcPr>
          <w:p/>
        </w:tc>
        <w:tc>
          <w:tcPr>
            <w:tcW w:type="dxa" w:w="360"/>
            <w:vMerge w:val="continue"/>
            <w:tcBorders>
              <w:top w:val="nil"/>
              <w:left w:val="single" w:color="000000" w:sz="4" w:space="0" w:shadow="0" w:frame="0"/>
              <w:bottom w:val="nil"/>
              <w:right w:val="nil"/>
            </w:tcBorders>
            <w:shd w:val="clear" w:color="auto" w:fill="auto"/>
          </w:tcPr>
          <w:p/>
        </w:tc>
      </w:tr>
    </w:tbl>
    <w:p>
      <w:pPr>
        <w:pStyle w:val="Free Form"/>
        <w:bidi w:val="0"/>
      </w:pPr>
    </w:p>
    <w:p>
      <w:pPr>
        <w:pStyle w:val="Normal.0"/>
        <w:tabs>
          <w:tab w:val="left" w:pos="964"/>
          <w:tab w:val="left" w:pos="1928"/>
          <w:tab w:val="left" w:pos="2892"/>
          <w:tab w:val="left" w:pos="3856"/>
          <w:tab w:val="left" w:pos="4820"/>
          <w:tab w:val="left" w:pos="5784"/>
          <w:tab w:val="left" w:pos="6748"/>
          <w:tab w:val="left" w:pos="7712"/>
          <w:tab w:val="left" w:pos="8676"/>
        </w:tabs>
      </w:pPr>
    </w:p>
    <w:p>
      <w:pPr>
        <w:pStyle w:val="IndentParaLevel1"/>
        <w:tabs>
          <w:tab w:val="left" w:pos="964"/>
          <w:tab w:val="left" w:pos="1928"/>
          <w:tab w:val="left" w:pos="2892"/>
          <w:tab w:val="left" w:pos="3856"/>
          <w:tab w:val="left" w:pos="4820"/>
          <w:tab w:val="left" w:pos="5784"/>
          <w:tab w:val="left" w:pos="6748"/>
          <w:tab w:val="left" w:pos="7712"/>
          <w:tab w:val="left" w:pos="8676"/>
        </w:tabs>
      </w:pPr>
    </w:p>
    <w:p>
      <w:pPr>
        <w:pStyle w:val="IndentParaLevel1"/>
        <w:tabs>
          <w:tab w:val="left" w:pos="964"/>
          <w:tab w:val="left" w:pos="1928"/>
          <w:tab w:val="left" w:pos="2892"/>
          <w:tab w:val="left" w:pos="3856"/>
          <w:tab w:val="left" w:pos="4820"/>
          <w:tab w:val="left" w:pos="5784"/>
          <w:tab w:val="left" w:pos="6748"/>
          <w:tab w:val="left" w:pos="7712"/>
          <w:tab w:val="left" w:pos="8676"/>
        </w:tabs>
      </w:pPr>
    </w:p>
    <w:p>
      <w:pPr>
        <w:pStyle w:val="IndentParaLevel1"/>
        <w:tabs>
          <w:tab w:val="left" w:pos="964"/>
          <w:tab w:val="left" w:pos="1928"/>
          <w:tab w:val="left" w:pos="2892"/>
          <w:tab w:val="left" w:pos="3856"/>
          <w:tab w:val="left" w:pos="4820"/>
          <w:tab w:val="left" w:pos="5784"/>
          <w:tab w:val="left" w:pos="6748"/>
          <w:tab w:val="left" w:pos="7712"/>
          <w:tab w:val="left" w:pos="8676"/>
        </w:tabs>
      </w:pPr>
    </w:p>
    <w:p>
      <w:pPr>
        <w:pStyle w:val="IndentParaLevel1"/>
        <w:tabs>
          <w:tab w:val="left" w:pos="964"/>
          <w:tab w:val="left" w:pos="1928"/>
          <w:tab w:val="left" w:pos="2892"/>
          <w:tab w:val="left" w:pos="3856"/>
          <w:tab w:val="left" w:pos="4820"/>
          <w:tab w:val="left" w:pos="5784"/>
          <w:tab w:val="left" w:pos="6748"/>
          <w:tab w:val="left" w:pos="7712"/>
          <w:tab w:val="left" w:pos="8676"/>
        </w:tabs>
      </w:pPr>
    </w:p>
    <w:p>
      <w:pPr>
        <w:pStyle w:val="IndentParaLevel1"/>
        <w:tabs>
          <w:tab w:val="left" w:pos="964"/>
          <w:tab w:val="left" w:pos="1928"/>
          <w:tab w:val="left" w:pos="2892"/>
          <w:tab w:val="left" w:pos="3856"/>
          <w:tab w:val="left" w:pos="4820"/>
          <w:tab w:val="left" w:pos="5784"/>
          <w:tab w:val="left" w:pos="6748"/>
          <w:tab w:val="left" w:pos="7712"/>
          <w:tab w:val="left" w:pos="8676"/>
        </w:tabs>
      </w:pPr>
    </w:p>
    <w:p>
      <w:pPr>
        <w:pStyle w:val="IndentParaLevel1"/>
        <w:bidi w:val="0"/>
      </w:pPr>
      <w:r>
        <w:rPr>
          <w:rFonts w:ascii="Helvetica Neue" w:hAnsi="Helvetica Neue"/>
          <w:sz w:val="24"/>
          <w:szCs w:val="24"/>
          <w:rtl w:val="0"/>
          <w:lang w:val="en-US"/>
        </w:rPr>
        <w:t xml:space="preserve"> </w:t>
      </w:r>
    </w:p>
    <w:p>
      <w:pPr>
        <w:pStyle w:val="Heading 9 A"/>
        <w:bidi w:val="0"/>
      </w:pPr>
      <w:bookmarkStart w:name="_Toc12" w:id="25"/>
      <w:r>
        <w:rPr>
          <w:rFonts w:ascii="Helvetica Neue" w:hAnsi="Helvetica Neue"/>
          <w:sz w:val="28"/>
          <w:szCs w:val="28"/>
          <w:rtl w:val="0"/>
          <w:lang w:val="en-US"/>
        </w:rPr>
        <w:t>Schedule 1 - General</w:t>
      </w:r>
      <w:bookmarkEnd w:id="25"/>
    </w:p>
    <w:p>
      <w:pPr>
        <w:pStyle w:val="Heading 1 A"/>
        <w:numPr>
          <w:ilvl w:val="0"/>
          <w:numId w:val="4"/>
        </w:numPr>
        <w:rPr>
          <w:sz w:val="32"/>
          <w:szCs w:val="32"/>
        </w:rPr>
      </w:pPr>
      <w:bookmarkStart w:name="_Toc13" w:id="26"/>
      <w:r>
        <w:rPr>
          <w:rFonts w:ascii="Helvetica Neue" w:hAnsi="Helvetica Neue"/>
          <w:sz w:val="32"/>
          <w:szCs w:val="32"/>
          <w:rtl w:val="0"/>
          <w:lang w:val="en-US"/>
        </w:rPr>
        <w:t>Interpretation</w:t>
      </w:r>
      <w:bookmarkEnd w:id="26"/>
    </w:p>
    <w:p>
      <w:pPr>
        <w:pStyle w:val="IndentParaLevel1"/>
        <w:bidi w:val="0"/>
      </w:pPr>
      <w:r>
        <w:rPr>
          <w:rFonts w:ascii="Helvetica Neue" w:hAnsi="Helvetica Neue"/>
          <w:sz w:val="24"/>
          <w:szCs w:val="24"/>
          <w:rtl w:val="0"/>
          <w:lang w:val="en-US"/>
        </w:rPr>
        <w:t>In this Agreement:</w:t>
      </w:r>
    </w:p>
    <w:p>
      <w:pPr>
        <w:pStyle w:val="Heading 3 A"/>
        <w:numPr>
          <w:ilvl w:val="2"/>
          <w:numId w:val="11"/>
        </w:numPr>
        <w:bidi w:val="0"/>
        <w:rPr>
          <w:sz w:val="24"/>
          <w:szCs w:val="24"/>
        </w:rPr>
      </w:pPr>
      <w:r>
        <w:rPr>
          <w:rFonts w:ascii="Helvetica Neue" w:hAnsi="Helvetica Neue"/>
          <w:sz w:val="24"/>
          <w:szCs w:val="24"/>
          <w:rtl w:val="0"/>
          <w:lang w:val="en-US"/>
        </w:rPr>
        <w:t>headings are for convenience only and do not affect interpretation;</w:t>
      </w:r>
    </w:p>
    <w:p>
      <w:pPr>
        <w:pStyle w:val="IndentParaLevel1"/>
        <w:bidi w:val="0"/>
      </w:pPr>
      <w:r>
        <w:rPr>
          <w:rFonts w:ascii="Helvetica Neue" w:hAnsi="Helvetica Neue"/>
          <w:sz w:val="24"/>
          <w:szCs w:val="24"/>
          <w:rtl w:val="0"/>
          <w:lang w:val="en-US"/>
        </w:rPr>
        <w:t>and unless the context indicates a contrary intention:</w:t>
      </w:r>
    </w:p>
    <w:p>
      <w:pPr>
        <w:pStyle w:val="Heading 3 A"/>
        <w:numPr>
          <w:ilvl w:val="2"/>
          <w:numId w:val="11"/>
        </w:numPr>
        <w:bidi w:val="0"/>
        <w:rPr>
          <w:sz w:val="24"/>
          <w:szCs w:val="24"/>
        </w:rPr>
      </w:pPr>
      <w:r>
        <w:rPr>
          <w:rFonts w:ascii="Helvetica Neue" w:hAnsi="Helvetica Neue"/>
          <w:sz w:val="24"/>
          <w:szCs w:val="24"/>
          <w:rtl w:val="0"/>
          <w:lang w:val="en-US"/>
        </w:rPr>
        <w:t xml:space="preserve">the expression </w:t>
      </w:r>
      <w:r>
        <w:rPr>
          <w:rFonts w:ascii="Helvetica Neue" w:hAnsi="Helvetica Neue"/>
          <w:b w:val="1"/>
          <w:bCs w:val="1"/>
          <w:sz w:val="24"/>
          <w:szCs w:val="24"/>
          <w:rtl w:val="0"/>
          <w:lang w:val="en-US"/>
        </w:rPr>
        <w:t>"person"</w:t>
      </w:r>
      <w:r>
        <w:rPr>
          <w:rFonts w:ascii="Helvetica Neue" w:hAnsi="Helvetica Neue"/>
          <w:sz w:val="24"/>
          <w:szCs w:val="24"/>
          <w:rtl w:val="0"/>
          <w:lang w:val="en-US"/>
        </w:rPr>
        <w:t xml:space="preserve"> includes an individual, the estate of an individual, a corporation, an authority, an association or a joint venture (whether incorporated or unincorporated), a partnership and a trust;</w:t>
      </w:r>
    </w:p>
    <w:p>
      <w:pPr>
        <w:pStyle w:val="Heading 3 A"/>
        <w:numPr>
          <w:ilvl w:val="2"/>
          <w:numId w:val="11"/>
        </w:numPr>
        <w:bidi w:val="0"/>
        <w:rPr>
          <w:sz w:val="24"/>
          <w:szCs w:val="24"/>
        </w:rPr>
      </w:pPr>
      <w:r>
        <w:rPr>
          <w:rFonts w:ascii="Helvetica Neue" w:hAnsi="Helvetica Neue"/>
          <w:sz w:val="24"/>
          <w:szCs w:val="24"/>
          <w:rtl w:val="0"/>
          <w:lang w:val="en-US"/>
        </w:rPr>
        <w:t>a reference to any party includes that party's executors, administrators, successors and permitted assigns, including any person taking by way of novation and, in the case of a trustee, includes any substituted or additional trustee;</w:t>
      </w:r>
    </w:p>
    <w:p>
      <w:pPr>
        <w:pStyle w:val="Heading 3 A"/>
        <w:numPr>
          <w:ilvl w:val="2"/>
          <w:numId w:val="11"/>
        </w:numPr>
        <w:bidi w:val="0"/>
        <w:rPr>
          <w:sz w:val="24"/>
          <w:szCs w:val="24"/>
        </w:rPr>
      </w:pPr>
      <w:r>
        <w:rPr>
          <w:rFonts w:ascii="Helvetica Neue" w:hAnsi="Helvetica Neue"/>
          <w:sz w:val="24"/>
          <w:szCs w:val="24"/>
          <w:rtl w:val="0"/>
          <w:lang w:val="en-US"/>
        </w:rPr>
        <w:t>a reference to any document (including this Agreement) is to that document as varied, novated, ratified or replaced from time to time;</w:t>
      </w:r>
    </w:p>
    <w:p>
      <w:pPr>
        <w:pStyle w:val="Heading 3 A"/>
        <w:numPr>
          <w:ilvl w:val="2"/>
          <w:numId w:val="11"/>
        </w:numPr>
        <w:bidi w:val="0"/>
        <w:rPr>
          <w:sz w:val="24"/>
          <w:szCs w:val="24"/>
        </w:rPr>
      </w:pPr>
      <w:r>
        <w:rPr>
          <w:rFonts w:ascii="Helvetica Neue" w:hAnsi="Helvetica Neue"/>
          <w:sz w:val="24"/>
          <w:szCs w:val="24"/>
          <w:rtl w:val="0"/>
          <w:lang w:val="en-US"/>
        </w:rPr>
        <w:t>a reference to a statute includes any regulations or other instruments made under it (</w:t>
      </w:r>
      <w:r>
        <w:rPr>
          <w:rFonts w:ascii="Helvetica Neue" w:hAnsi="Helvetica Neue"/>
          <w:b w:val="1"/>
          <w:bCs w:val="1"/>
          <w:sz w:val="24"/>
          <w:szCs w:val="24"/>
          <w:rtl w:val="0"/>
          <w:lang w:val="en-US"/>
        </w:rPr>
        <w:t>"delegated legislation"</w:t>
      </w:r>
      <w:r>
        <w:rPr>
          <w:rFonts w:ascii="Helvetica Neue" w:hAnsi="Helvetica Neue"/>
          <w:sz w:val="24"/>
          <w:szCs w:val="24"/>
          <w:rtl w:val="0"/>
          <w:lang w:val="en-US"/>
        </w:rPr>
        <w:t>) and a reference to a statute or delegated legislation or a provision of either includes consolidations, amendments, reenactments and replacements;</w:t>
      </w:r>
    </w:p>
    <w:p>
      <w:pPr>
        <w:pStyle w:val="Heading 3 A"/>
        <w:numPr>
          <w:ilvl w:val="2"/>
          <w:numId w:val="11"/>
        </w:numPr>
        <w:bidi w:val="0"/>
        <w:rPr>
          <w:sz w:val="24"/>
          <w:szCs w:val="24"/>
        </w:rPr>
      </w:pPr>
      <w:r>
        <w:rPr>
          <w:rFonts w:ascii="Helvetica Neue" w:hAnsi="Helvetica Neue"/>
          <w:sz w:val="24"/>
          <w:szCs w:val="24"/>
          <w:rtl w:val="0"/>
          <w:lang w:val="en-US"/>
        </w:rPr>
        <w:t>words importing the singular include the plural (and vice versa), and words indicating a gender include every other gender;</w:t>
      </w:r>
    </w:p>
    <w:p>
      <w:pPr>
        <w:pStyle w:val="Heading 3 A"/>
        <w:numPr>
          <w:ilvl w:val="2"/>
          <w:numId w:val="11"/>
        </w:numPr>
        <w:bidi w:val="0"/>
        <w:rPr>
          <w:sz w:val="24"/>
          <w:szCs w:val="24"/>
        </w:rPr>
      </w:pPr>
      <w:r>
        <w:rPr>
          <w:rFonts w:ascii="Helvetica Neue" w:hAnsi="Helvetica Neue"/>
          <w:sz w:val="24"/>
          <w:szCs w:val="24"/>
          <w:rtl w:val="0"/>
          <w:lang w:val="en-US"/>
        </w:rPr>
        <w:t xml:space="preserve">references to parties, clauses or schedules are references to parties, clauses and schedules to or of this Agreement, and a reference to this Agreement includes any schedule to this Agreement; </w:t>
      </w:r>
    </w:p>
    <w:p>
      <w:pPr>
        <w:pStyle w:val="Heading 3 A"/>
        <w:numPr>
          <w:ilvl w:val="2"/>
          <w:numId w:val="11"/>
        </w:numPr>
        <w:bidi w:val="0"/>
        <w:rPr>
          <w:sz w:val="24"/>
          <w:szCs w:val="24"/>
        </w:rPr>
      </w:pPr>
      <w:r>
        <w:rPr>
          <w:rFonts w:ascii="Helvetica Neue" w:hAnsi="Helvetica Neue"/>
          <w:sz w:val="24"/>
          <w:szCs w:val="24"/>
          <w:rtl w:val="0"/>
          <w:lang w:val="en-US"/>
        </w:rPr>
        <w:t>where a word or phrase is given a defined meaning, any other part of speech or grammatical form of that word or phrase has a corresponding meaning;</w:t>
      </w:r>
    </w:p>
    <w:p>
      <w:pPr>
        <w:pStyle w:val="Heading 3 A"/>
        <w:numPr>
          <w:ilvl w:val="2"/>
          <w:numId w:val="11"/>
        </w:numPr>
        <w:bidi w:val="0"/>
        <w:rPr>
          <w:sz w:val="24"/>
          <w:szCs w:val="24"/>
        </w:rPr>
      </w:pPr>
      <w:r>
        <w:rPr>
          <w:rFonts w:ascii="Helvetica Neue" w:hAnsi="Helvetica Neue"/>
          <w:sz w:val="24"/>
          <w:szCs w:val="24"/>
          <w:rtl w:val="0"/>
          <w:lang w:val="en-US"/>
        </w:rPr>
        <w:t>the word "includes" in any form is not a word of limitation;</w:t>
      </w:r>
    </w:p>
    <w:p>
      <w:pPr>
        <w:pStyle w:val="Heading 3 A"/>
        <w:numPr>
          <w:ilvl w:val="2"/>
          <w:numId w:val="11"/>
        </w:numPr>
        <w:bidi w:val="0"/>
        <w:rPr>
          <w:sz w:val="24"/>
          <w:szCs w:val="24"/>
        </w:rPr>
      </w:pPr>
      <w:r>
        <w:rPr>
          <w:rFonts w:ascii="Helvetica Neue" w:hAnsi="Helvetica Neue"/>
          <w:b w:val="1"/>
          <w:bCs w:val="1"/>
          <w:sz w:val="24"/>
          <w:szCs w:val="24"/>
          <w:rtl w:val="0"/>
          <w:lang w:val="en-US"/>
        </w:rPr>
        <w:t>a reference to "$" or "dollar" is to U.S. Dollar currency.</w:t>
      </w:r>
    </w:p>
    <w:p>
      <w:pPr>
        <w:pStyle w:val="Heading 3 A"/>
        <w:numPr>
          <w:ilvl w:val="2"/>
          <w:numId w:val="11"/>
        </w:numPr>
        <w:bidi w:val="0"/>
        <w:rPr>
          <w:sz w:val="24"/>
          <w:szCs w:val="24"/>
        </w:rPr>
      </w:pPr>
      <w:r>
        <w:rPr>
          <w:rFonts w:ascii="Helvetica Neue" w:hAnsi="Helvetica Neue"/>
          <w:sz w:val="24"/>
          <w:szCs w:val="24"/>
          <w:rtl w:val="0"/>
          <w:lang w:val="en-US"/>
        </w:rPr>
        <w:t>if the payment of any money or doing of any act falls on a day which is not a Business Day, that payment must be made or that act must be done on the next Business Day; and</w:t>
      </w:r>
    </w:p>
    <w:p>
      <w:pPr>
        <w:pStyle w:val="Heading 3 A"/>
        <w:numPr>
          <w:ilvl w:val="2"/>
          <w:numId w:val="11"/>
        </w:numPr>
        <w:bidi w:val="0"/>
        <w:rPr>
          <w:sz w:val="24"/>
          <w:szCs w:val="24"/>
        </w:rPr>
      </w:pPr>
      <w:r>
        <w:rPr>
          <w:rFonts w:ascii="Helvetica Neue" w:hAnsi="Helvetica Neue"/>
          <w:sz w:val="24"/>
          <w:szCs w:val="24"/>
          <w:rtl w:val="0"/>
          <w:lang w:val="en-US"/>
        </w:rPr>
        <w:t>all payments to be made pursuant to this Agreement must be made by unendorsed bank cheque or other immediately available funds.</w:t>
      </w:r>
    </w:p>
    <w:p>
      <w:pPr>
        <w:pStyle w:val="Heading 3 A"/>
        <w:tabs>
          <w:tab w:val="left" w:pos="964"/>
          <w:tab w:val="left" w:pos="2892"/>
          <w:tab w:val="left" w:pos="3856"/>
          <w:tab w:val="left" w:pos="4820"/>
          <w:tab w:val="left" w:pos="5784"/>
          <w:tab w:val="left" w:pos="6748"/>
          <w:tab w:val="left" w:pos="7712"/>
          <w:tab w:val="left" w:pos="8676"/>
        </w:tabs>
        <w:ind w:left="1928" w:hanging="964"/>
      </w:pPr>
    </w:p>
    <w:p>
      <w:pPr>
        <w:pStyle w:val="Heading 1 A"/>
        <w:tabs>
          <w:tab w:val="left" w:pos="1928"/>
          <w:tab w:val="left" w:pos="2892"/>
          <w:tab w:val="left" w:pos="3856"/>
          <w:tab w:val="left" w:pos="4820"/>
          <w:tab w:val="left" w:pos="5784"/>
          <w:tab w:val="left" w:pos="6748"/>
          <w:tab w:val="left" w:pos="7712"/>
          <w:tab w:val="left" w:pos="8676"/>
        </w:tabs>
        <w:ind w:left="964" w:hanging="964"/>
      </w:pPr>
      <w:bookmarkStart w:name="_Toc14" w:id="27"/>
      <w:r>
        <w:rPr>
          <w:rFonts w:ascii="Helvetica Neue" w:hAnsi="Helvetica Neue"/>
          <w:sz w:val="32"/>
          <w:szCs w:val="32"/>
          <w:rtl w:val="0"/>
          <w:lang w:val="en-US"/>
        </w:rPr>
        <w:t>Governing law and jurisdiction</w:t>
      </w:r>
      <w:bookmarkEnd w:id="27"/>
    </w:p>
    <w:p>
      <w:pPr>
        <w:pStyle w:val="Heading 3 A"/>
        <w:numPr>
          <w:ilvl w:val="2"/>
          <w:numId w:val="11"/>
        </w:numPr>
        <w:bidi w:val="0"/>
        <w:rPr>
          <w:sz w:val="24"/>
          <w:szCs w:val="24"/>
        </w:rPr>
      </w:pPr>
      <w:r>
        <w:rPr>
          <w:rFonts w:ascii="Helvetica Neue" w:hAnsi="Helvetica Neue"/>
          <w:sz w:val="24"/>
          <w:szCs w:val="24"/>
          <w:rtl w:val="0"/>
          <w:lang w:val="en-US"/>
        </w:rPr>
        <w:t xml:space="preserve">This Agreement is governed by and will be construed according to the laws of </w:t>
      </w:r>
      <w:r>
        <w:rPr>
          <w:rFonts w:ascii="Helvetica Neue" w:hAnsi="Helvetica Neue"/>
          <w:sz w:val="24"/>
          <w:szCs w:val="24"/>
          <w:rtl w:val="0"/>
          <w:lang w:val="en-US"/>
        </w:rPr>
        <w:t>Colorado, USA</w:t>
      </w:r>
      <w:r>
        <w:rPr>
          <w:rFonts w:ascii="Helvetica Neue" w:hAnsi="Helvetica Neue"/>
          <w:sz w:val="24"/>
          <w:szCs w:val="24"/>
          <w:rtl w:val="0"/>
          <w:lang w:val="en-US"/>
        </w:rPr>
        <w:t>.</w:t>
      </w:r>
    </w:p>
    <w:p>
      <w:pPr>
        <w:pStyle w:val="Heading 3 A"/>
        <w:numPr>
          <w:ilvl w:val="2"/>
          <w:numId w:val="11"/>
        </w:numPr>
        <w:bidi w:val="0"/>
        <w:rPr>
          <w:sz w:val="24"/>
          <w:szCs w:val="24"/>
        </w:rPr>
      </w:pPr>
      <w:r>
        <w:rPr>
          <w:rFonts w:ascii="Helvetica Neue" w:hAnsi="Helvetica Neue"/>
          <w:sz w:val="24"/>
          <w:szCs w:val="24"/>
          <w:rtl w:val="0"/>
          <w:lang w:val="en-US"/>
        </w:rPr>
        <w:t xml:space="preserve">Each party irrevocably submits to the non-exclusive jurisdiction of the courts of </w:t>
      </w:r>
      <w:r>
        <w:rPr>
          <w:rFonts w:ascii="Helvetica Neue" w:hAnsi="Helvetica Neue"/>
          <w:sz w:val="24"/>
          <w:szCs w:val="24"/>
          <w:rtl w:val="0"/>
          <w:lang w:val="en-US"/>
        </w:rPr>
        <w:t>Colorado</w:t>
      </w:r>
      <w:r>
        <w:rPr>
          <w:rFonts w:ascii="Helvetica Neue" w:hAnsi="Helvetica Neue"/>
          <w:sz w:val="24"/>
          <w:szCs w:val="24"/>
          <w:rtl w:val="0"/>
          <w:lang w:val="en-US"/>
        </w:rPr>
        <w:t>, and the courts competent to determine appeals from those courts, with respect to any proceedings which may be brought at any time relating in any way to this Agreement.</w:t>
      </w:r>
    </w:p>
    <w:p>
      <w:pPr>
        <w:pStyle w:val="Heading 3 A"/>
        <w:numPr>
          <w:ilvl w:val="2"/>
          <w:numId w:val="11"/>
        </w:numPr>
        <w:bidi w:val="0"/>
        <w:rPr>
          <w:sz w:val="24"/>
          <w:szCs w:val="24"/>
        </w:rPr>
      </w:pPr>
      <w:r>
        <w:rPr>
          <w:rFonts w:ascii="Helvetica Neue" w:hAnsi="Helvetica Neue"/>
          <w:sz w:val="24"/>
          <w:szCs w:val="24"/>
          <w:rtl w:val="0"/>
          <w:lang w:val="en-US"/>
        </w:rPr>
        <w:t>Each party irrevocably waives any objection it may now or in the future have to the venue of any proceedings, and any claim it may now or in the future have that any proceedings have been brought in an inconvenient forum, where that venue falls within paragraph</w:t>
      </w:r>
      <w:r>
        <w:rPr>
          <w:rFonts w:ascii="Helvetica Neue" w:hAnsi="Helvetica Neue" w:hint="default"/>
          <w:sz w:val="24"/>
          <w:szCs w:val="24"/>
          <w:rtl w:val="0"/>
          <w:lang w:val="en-US"/>
        </w:rPr>
        <w:t> </w:t>
      </w:r>
      <w:r>
        <w:rPr>
          <w:rFonts w:ascii="Helvetica Neue" w:hAnsi="Helvetica Neue"/>
          <w:sz w:val="24"/>
          <w:szCs w:val="24"/>
          <w:rtl w:val="0"/>
          <w:lang w:val="en-US"/>
        </w:rPr>
        <w:t>2(a) of this Schedule.</w:t>
      </w:r>
    </w:p>
    <w:p>
      <w:pPr>
        <w:pStyle w:val="Heading 3 A"/>
        <w:tabs>
          <w:tab w:val="left" w:pos="964"/>
          <w:tab w:val="left" w:pos="2892"/>
          <w:tab w:val="left" w:pos="3856"/>
          <w:tab w:val="left" w:pos="4820"/>
          <w:tab w:val="left" w:pos="5784"/>
          <w:tab w:val="left" w:pos="6748"/>
          <w:tab w:val="left" w:pos="7712"/>
          <w:tab w:val="left" w:pos="8676"/>
        </w:tabs>
        <w:ind w:left="1928" w:hanging="964"/>
      </w:pPr>
    </w:p>
    <w:p>
      <w:pPr>
        <w:pStyle w:val="Heading 1 A"/>
        <w:numPr>
          <w:ilvl w:val="0"/>
          <w:numId w:val="4"/>
        </w:numPr>
        <w:bidi w:val="0"/>
        <w:rPr>
          <w:sz w:val="32"/>
          <w:szCs w:val="32"/>
        </w:rPr>
      </w:pPr>
      <w:bookmarkStart w:name="_Toc15" w:id="28"/>
      <w:r>
        <w:rPr>
          <w:rFonts w:ascii="Helvetica Neue" w:hAnsi="Helvetica Neue"/>
          <w:sz w:val="32"/>
          <w:szCs w:val="32"/>
          <w:rtl w:val="0"/>
          <w:lang w:val="en-US"/>
        </w:rPr>
        <w:t>Further acts</w:t>
      </w:r>
      <w:bookmarkEnd w:id="28"/>
    </w:p>
    <w:p>
      <w:pPr>
        <w:pStyle w:val="IndentParaLevel1"/>
        <w:bidi w:val="0"/>
      </w:pPr>
      <w:r>
        <w:rPr>
          <w:rFonts w:ascii="Helvetica Neue" w:hAnsi="Helvetica Neue"/>
          <w:sz w:val="24"/>
          <w:szCs w:val="24"/>
          <w:rtl w:val="0"/>
          <w:lang w:val="en-US"/>
        </w:rPr>
        <w:t>Each party will promptly do and perform all further acts and execute and deliver all further documents (in form and content reasonably satisfactory to that party) required by law or reasonably requested by any other party to give effect to this Agreement.</w:t>
      </w:r>
    </w:p>
    <w:p>
      <w:pPr>
        <w:pStyle w:val="Heading 1 A"/>
        <w:numPr>
          <w:ilvl w:val="0"/>
          <w:numId w:val="4"/>
        </w:numPr>
        <w:bidi w:val="0"/>
        <w:rPr>
          <w:sz w:val="32"/>
          <w:szCs w:val="32"/>
        </w:rPr>
      </w:pPr>
      <w:bookmarkStart w:name="_Toc16" w:id="29"/>
      <w:r>
        <w:rPr>
          <w:rFonts w:ascii="Helvetica Neue" w:hAnsi="Helvetica Neue"/>
          <w:sz w:val="32"/>
          <w:szCs w:val="32"/>
          <w:rtl w:val="0"/>
          <w:lang w:val="en-US"/>
        </w:rPr>
        <w:t>Notices</w:t>
      </w:r>
      <w:bookmarkEnd w:id="29"/>
    </w:p>
    <w:p>
      <w:pPr>
        <w:pStyle w:val="IndentParaLevel1"/>
        <w:bidi w:val="0"/>
      </w:pPr>
      <w:r>
        <w:rPr>
          <w:rFonts w:ascii="Helvetica Neue" w:hAnsi="Helvetica Neue"/>
          <w:sz w:val="24"/>
          <w:szCs w:val="24"/>
          <w:rtl w:val="0"/>
          <w:lang w:val="en-US"/>
        </w:rPr>
        <w:t>Any communication under or in connection with this Agreement:</w:t>
      </w:r>
    </w:p>
    <w:p>
      <w:pPr>
        <w:pStyle w:val="Heading 3 A"/>
        <w:numPr>
          <w:ilvl w:val="2"/>
          <w:numId w:val="11"/>
        </w:numPr>
        <w:bidi w:val="0"/>
        <w:rPr>
          <w:sz w:val="24"/>
          <w:szCs w:val="24"/>
        </w:rPr>
      </w:pPr>
      <w:r>
        <w:rPr>
          <w:rFonts w:ascii="Helvetica Neue" w:hAnsi="Helvetica Neue"/>
          <w:sz w:val="24"/>
          <w:szCs w:val="24"/>
          <w:rtl w:val="0"/>
          <w:lang w:val="en-US"/>
        </w:rPr>
        <w:t>must be in writing;</w:t>
      </w:r>
    </w:p>
    <w:p>
      <w:pPr>
        <w:pStyle w:val="Heading 3 A"/>
        <w:numPr>
          <w:ilvl w:val="2"/>
          <w:numId w:val="11"/>
        </w:numPr>
        <w:bidi w:val="0"/>
        <w:rPr>
          <w:sz w:val="24"/>
          <w:szCs w:val="24"/>
        </w:rPr>
      </w:pPr>
      <w:r>
        <w:rPr>
          <w:rFonts w:ascii="Helvetica Neue" w:hAnsi="Helvetica Neue"/>
          <w:sz w:val="24"/>
          <w:szCs w:val="24"/>
          <w:rtl w:val="0"/>
          <w:lang w:val="en-US"/>
        </w:rPr>
        <w:t>must be addressed as shown below:</w:t>
      </w:r>
    </w:p>
    <w:p>
      <w:pPr>
        <w:pStyle w:val="Heading 3 A"/>
        <w:tabs>
          <w:tab w:val="left" w:pos="964"/>
          <w:tab w:val="left" w:pos="2892"/>
          <w:tab w:val="left" w:pos="3856"/>
          <w:tab w:val="left" w:pos="4820"/>
          <w:tab w:val="left" w:pos="5784"/>
          <w:tab w:val="left" w:pos="6748"/>
          <w:tab w:val="left" w:pos="7712"/>
          <w:tab w:val="left" w:pos="8676"/>
        </w:tabs>
        <w:spacing w:after="0"/>
        <w:ind w:left="1928" w:hanging="964"/>
      </w:pPr>
      <w:r>
        <w:rPr>
          <w:rFonts w:ascii="Helvetica Neue" w:hAnsi="Helvetica Neue"/>
          <w:b w:val="1"/>
          <w:bCs w:val="1"/>
          <w:i w:val="1"/>
          <w:iCs w:val="1"/>
          <w:sz w:val="24"/>
          <w:szCs w:val="24"/>
          <w:rtl w:val="0"/>
          <w:lang w:val="en-US"/>
        </w:rPr>
        <w:t>Company</w:t>
      </w:r>
      <w:r>
        <w:rPr>
          <w:rFonts w:ascii="Helvetica Neue" w:hAnsi="Helvetica Neue"/>
          <w:sz w:val="24"/>
          <w:szCs w:val="24"/>
          <w:rtl w:val="0"/>
          <w:lang w:val="en-US"/>
        </w:rPr>
        <w:t>:</w:t>
      </w:r>
    </w:p>
    <w:p>
      <w:pPr>
        <w:pStyle w:val="Heading 3 A"/>
        <w:tabs>
          <w:tab w:val="left" w:pos="964"/>
          <w:tab w:val="left" w:pos="2892"/>
          <w:tab w:val="left" w:pos="3856"/>
          <w:tab w:val="left" w:pos="4820"/>
          <w:tab w:val="left" w:pos="5784"/>
          <w:tab w:val="left" w:pos="6748"/>
          <w:tab w:val="left" w:pos="7712"/>
          <w:tab w:val="left" w:pos="8676"/>
        </w:tabs>
        <w:spacing w:after="0"/>
        <w:ind w:left="1928" w:hanging="964"/>
      </w:pPr>
    </w:p>
    <w:p>
      <w:pPr>
        <w:pStyle w:val="IndentParaLevel2"/>
        <w:tabs>
          <w:tab w:val="left" w:pos="964"/>
          <w:tab w:val="left" w:pos="1928"/>
          <w:tab w:val="left" w:pos="2892"/>
          <w:tab w:val="left" w:pos="3856"/>
          <w:tab w:val="left" w:pos="4820"/>
          <w:tab w:val="left" w:pos="5784"/>
          <w:tab w:val="left" w:pos="6748"/>
          <w:tab w:val="left" w:pos="7712"/>
          <w:tab w:val="left" w:pos="8676"/>
        </w:tabs>
        <w:spacing w:after="60"/>
      </w:pPr>
      <w:r>
        <w:rPr>
          <w:rFonts w:ascii="Helvetica Neue" w:hAnsi="Helvetica Neue"/>
          <w:sz w:val="24"/>
          <w:szCs w:val="24"/>
          <w:rtl w:val="0"/>
          <w:lang w:val="en-US"/>
        </w:rPr>
        <w:t>PAYYAP LLC</w:t>
      </w:r>
    </w:p>
    <w:p>
      <w:pPr>
        <w:pStyle w:val="IndentParaLevel2"/>
        <w:tabs>
          <w:tab w:val="left" w:pos="964"/>
          <w:tab w:val="left" w:pos="1928"/>
          <w:tab w:val="left" w:pos="2892"/>
          <w:tab w:val="left" w:pos="3856"/>
          <w:tab w:val="left" w:pos="4820"/>
          <w:tab w:val="left" w:pos="5784"/>
          <w:tab w:val="left" w:pos="6748"/>
          <w:tab w:val="left" w:pos="7712"/>
          <w:tab w:val="left" w:pos="8676"/>
        </w:tabs>
        <w:spacing w:after="60"/>
      </w:pPr>
      <w:r>
        <w:rPr>
          <w:rFonts w:ascii="Helvetica Neue" w:hAnsi="Helvetica Neue"/>
          <w:sz w:val="24"/>
          <w:szCs w:val="24"/>
          <w:rtl w:val="0"/>
          <w:lang w:val="en-US"/>
        </w:rPr>
        <w:t>375 Park Avenue, Suite 2607; New York City, NY 10152 USA</w:t>
      </w:r>
    </w:p>
    <w:p>
      <w:pPr>
        <w:pStyle w:val="IndentParaLevel2"/>
        <w:tabs>
          <w:tab w:val="left" w:pos="964"/>
          <w:tab w:val="left" w:pos="1928"/>
          <w:tab w:val="left" w:pos="2892"/>
          <w:tab w:val="left" w:pos="3856"/>
          <w:tab w:val="left" w:pos="4820"/>
          <w:tab w:val="left" w:pos="5784"/>
          <w:tab w:val="left" w:pos="6748"/>
          <w:tab w:val="left" w:pos="7712"/>
          <w:tab w:val="left" w:pos="8676"/>
        </w:tabs>
        <w:spacing w:after="60"/>
      </w:pPr>
      <w:r>
        <w:rPr>
          <w:rFonts w:ascii="Helvetica Neue" w:hAnsi="Helvetica Neue"/>
          <w:sz w:val="24"/>
          <w:szCs w:val="24"/>
          <w:rtl w:val="0"/>
          <w:lang w:val="en-US"/>
        </w:rPr>
        <w:t>TEL: +1 917 310 0864</w:t>
      </w:r>
    </w:p>
    <w:p>
      <w:pPr>
        <w:pStyle w:val="IndentParaLevel2"/>
        <w:tabs>
          <w:tab w:val="left" w:pos="964"/>
          <w:tab w:val="left" w:pos="1928"/>
          <w:tab w:val="left" w:pos="2892"/>
          <w:tab w:val="left" w:pos="3856"/>
          <w:tab w:val="left" w:pos="4820"/>
          <w:tab w:val="left" w:pos="5784"/>
          <w:tab w:val="left" w:pos="6748"/>
          <w:tab w:val="left" w:pos="7712"/>
          <w:tab w:val="left" w:pos="8676"/>
        </w:tabs>
        <w:spacing w:after="60"/>
      </w:pPr>
      <w:r>
        <w:rPr>
          <w:rFonts w:ascii="Helvetica Neue" w:hAnsi="Helvetica Neue"/>
          <w:sz w:val="24"/>
          <w:szCs w:val="24"/>
          <w:rtl w:val="0"/>
          <w:lang w:val="en-US"/>
        </w:rPr>
        <w:t>EMAIL:</w:t>
      </w:r>
      <w:r>
        <w:rPr>
          <w:rFonts w:ascii="Helvetica Neue" w:hAnsi="Helvetica Neue"/>
          <w:sz w:val="24"/>
          <w:szCs w:val="24"/>
          <w:rtl w:val="0"/>
          <w:lang w:val="en-US"/>
        </w:rPr>
        <w:t xml:space="preserve"> </w:t>
      </w:r>
      <w:r>
        <w:rPr>
          <w:rFonts w:ascii="Helvetica Neue" w:hAnsi="Helvetica Neue"/>
          <w:sz w:val="24"/>
          <w:szCs w:val="24"/>
          <w:rtl w:val="0"/>
          <w:lang w:val="en-US"/>
        </w:rPr>
        <w:t>accounting@PAYYAP.network</w:t>
      </w:r>
      <w:r>
        <w:rPr>
          <w:rFonts w:ascii="Helvetica Neue" w:cs="Helvetica Neue" w:hAnsi="Helvetica Neue" w:eastAsia="Helvetica Neue"/>
          <w:sz w:val="24"/>
          <w:szCs w:val="24"/>
        </w:rPr>
        <w:br w:type="textWrapping"/>
      </w:r>
      <w:r>
        <w:rPr>
          <w:rFonts w:ascii="Helvetica Neue" w:hAnsi="Helvetica Neue"/>
          <w:sz w:val="24"/>
          <w:szCs w:val="24"/>
          <w:rtl w:val="0"/>
          <w:lang w:val="en-US"/>
        </w:rPr>
        <w:t>attn:  Shea Writer</w:t>
      </w:r>
    </w:p>
    <w:p>
      <w:pPr>
        <w:pStyle w:val="Normal.0"/>
        <w:widowControl w:val="1"/>
        <w:tabs>
          <w:tab w:val="left" w:pos="964"/>
          <w:tab w:val="left" w:pos="1928"/>
          <w:tab w:val="left" w:pos="2892"/>
          <w:tab w:val="left" w:pos="3856"/>
          <w:tab w:val="left" w:pos="4820"/>
          <w:tab w:val="left" w:pos="5784"/>
          <w:tab w:val="left" w:pos="6748"/>
          <w:tab w:val="left" w:pos="7712"/>
          <w:tab w:val="left" w:pos="8676"/>
        </w:tabs>
        <w:ind w:left="1928" w:firstLine="0"/>
      </w:pPr>
    </w:p>
    <w:p>
      <w:pPr>
        <w:pStyle w:val="Normal.0"/>
        <w:widowControl w:val="1"/>
        <w:tabs>
          <w:tab w:val="left" w:pos="964"/>
          <w:tab w:val="left" w:pos="1928"/>
          <w:tab w:val="left" w:pos="2892"/>
          <w:tab w:val="left" w:pos="3856"/>
          <w:tab w:val="left" w:pos="4820"/>
          <w:tab w:val="left" w:pos="5784"/>
          <w:tab w:val="left" w:pos="6748"/>
          <w:tab w:val="left" w:pos="7712"/>
          <w:tab w:val="left" w:pos="8676"/>
        </w:tabs>
        <w:ind w:left="1928" w:firstLine="0"/>
      </w:pPr>
      <w:r>
        <w:rPr>
          <w:rFonts w:ascii="Arial Unicode MS" w:cs="Arial Unicode MS" w:hAnsi="Arial Unicode MS" w:eastAsia="Arial Unicode MS"/>
          <w:b w:val="0"/>
          <w:bCs w:val="0"/>
          <w:i w:val="0"/>
          <w:iCs w:val="0"/>
          <w:color w:val="000000"/>
          <w:sz w:val="24"/>
          <w:szCs w:val="24"/>
        </w:rPr>
        <w:br w:type="page"/>
      </w:r>
    </w:p>
    <w:p>
      <w:pPr>
        <w:pStyle w:val="Normal.0"/>
        <w:widowControl w:val="1"/>
        <w:tabs>
          <w:tab w:val="left" w:pos="964"/>
          <w:tab w:val="left" w:pos="1928"/>
          <w:tab w:val="left" w:pos="2892"/>
          <w:tab w:val="left" w:pos="3856"/>
          <w:tab w:val="left" w:pos="4820"/>
          <w:tab w:val="left" w:pos="5784"/>
          <w:tab w:val="left" w:pos="6748"/>
          <w:tab w:val="left" w:pos="7712"/>
          <w:tab w:val="left" w:pos="8676"/>
        </w:tabs>
        <w:ind w:left="1928" w:firstLine="0"/>
      </w:pPr>
      <w:r>
        <w:rPr>
          <w:rFonts w:ascii="Helvetica Neue" w:hAnsi="Helvetica Neue"/>
          <w:b w:val="1"/>
          <w:bCs w:val="1"/>
          <w:i w:val="1"/>
          <w:iCs w:val="1"/>
          <w:sz w:val="24"/>
          <w:szCs w:val="24"/>
          <w:rtl w:val="0"/>
          <w:lang w:val="en-US"/>
        </w:rPr>
        <w:t>Subscriber:</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r>
        <w:rPr>
          <w:rFonts w:ascii="Helvetica Neue" w:hAnsi="Helvetica Neue"/>
          <w:sz w:val="24"/>
          <w:szCs w:val="24"/>
          <w:rtl w:val="0"/>
          <w:lang w:val="en-US"/>
        </w:rPr>
        <w:t>VERGENT CAPITAL LLC</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r>
        <w:rPr>
          <w:rFonts w:ascii="Helvetica Neue" w:hAnsi="Helvetica Neue"/>
          <w:sz w:val="24"/>
          <w:szCs w:val="24"/>
          <w:rtl w:val="0"/>
          <w:lang w:val="en-US"/>
        </w:rPr>
        <w:t>______________________________________</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r>
        <w:rPr>
          <w:rFonts w:ascii="Helvetica Neue" w:hAnsi="Helvetica Neue"/>
          <w:sz w:val="24"/>
          <w:szCs w:val="24"/>
          <w:rtl w:val="0"/>
          <w:lang w:val="en-US"/>
        </w:rPr>
        <w:t>______________________________________</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r>
        <w:rPr>
          <w:rFonts w:ascii="Helvetica Neue" w:hAnsi="Helvetica Neue"/>
          <w:sz w:val="24"/>
          <w:szCs w:val="24"/>
          <w:rtl w:val="0"/>
          <w:lang w:val="en-US"/>
        </w:rPr>
        <w:t>______________________________________</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r>
        <w:rPr>
          <w:rFonts w:ascii="Helvetica Neue" w:hAnsi="Helvetica Neue"/>
          <w:sz w:val="24"/>
          <w:szCs w:val="24"/>
          <w:rtl w:val="0"/>
          <w:lang w:val="en-US"/>
        </w:rPr>
        <w:t>______________________________________</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r>
        <w:rPr>
          <w:rFonts w:ascii="Helvetica Neue" w:hAnsi="Helvetica Neue"/>
          <w:sz w:val="24"/>
          <w:szCs w:val="24"/>
          <w:rtl w:val="0"/>
          <w:lang w:val="en-US"/>
        </w:rPr>
        <w:t>______________________________________;</w:t>
      </w:r>
    </w:p>
    <w:p>
      <w:pPr>
        <w:pStyle w:val="Normal.0"/>
        <w:widowControl w:val="1"/>
        <w:tabs>
          <w:tab w:val="left" w:pos="964"/>
          <w:tab w:val="left" w:pos="1928"/>
          <w:tab w:val="left" w:pos="2892"/>
          <w:tab w:val="left" w:pos="3856"/>
          <w:tab w:val="left" w:pos="4820"/>
          <w:tab w:val="left" w:pos="5784"/>
          <w:tab w:val="left" w:pos="6748"/>
          <w:tab w:val="left" w:pos="7712"/>
          <w:tab w:val="left" w:pos="8676"/>
        </w:tabs>
        <w:spacing w:after="0"/>
        <w:ind w:left="1930" w:firstLine="0"/>
      </w:pPr>
    </w:p>
    <w:p>
      <w:pPr>
        <w:pStyle w:val="Heading 3 A"/>
        <w:numPr>
          <w:ilvl w:val="2"/>
          <w:numId w:val="11"/>
        </w:numPr>
        <w:bidi w:val="0"/>
        <w:rPr>
          <w:sz w:val="24"/>
          <w:szCs w:val="24"/>
        </w:rPr>
      </w:pPr>
      <w:r>
        <w:rPr>
          <w:rFonts w:ascii="Helvetica Neue" w:hAnsi="Helvetica Neue"/>
          <w:sz w:val="24"/>
          <w:szCs w:val="24"/>
          <w:rtl w:val="0"/>
          <w:lang w:val="en-US"/>
        </w:rPr>
        <w:t>must be signed by the party making the communication or (on its behalf) by the solicitor for, or by any attorney, director, secretary, or authorised  agent of, that party;</w:t>
      </w:r>
    </w:p>
    <w:p>
      <w:pPr>
        <w:pStyle w:val="Heading 3 A"/>
        <w:numPr>
          <w:ilvl w:val="2"/>
          <w:numId w:val="11"/>
        </w:numPr>
        <w:bidi w:val="0"/>
        <w:rPr>
          <w:sz w:val="24"/>
          <w:szCs w:val="24"/>
        </w:rPr>
      </w:pPr>
      <w:r>
        <w:rPr>
          <w:rFonts w:ascii="Helvetica Neue" w:hAnsi="Helvetica Neue"/>
          <w:sz w:val="24"/>
          <w:szCs w:val="24"/>
          <w:rtl w:val="0"/>
          <w:lang w:val="en-US"/>
        </w:rPr>
        <w:t>must be delivered or posted by prepaid post to the address, or sent by fax to the number, of the addressee, in accordance with paragraph 4(b); and</w:t>
      </w:r>
    </w:p>
    <w:p>
      <w:pPr>
        <w:pStyle w:val="Heading 3 A"/>
        <w:numPr>
          <w:ilvl w:val="2"/>
          <w:numId w:val="11"/>
        </w:numPr>
        <w:bidi w:val="0"/>
        <w:rPr>
          <w:sz w:val="24"/>
          <w:szCs w:val="24"/>
        </w:rPr>
      </w:pPr>
      <w:r>
        <w:rPr>
          <w:rFonts w:ascii="Helvetica Neue" w:hAnsi="Helvetica Neue"/>
          <w:sz w:val="24"/>
          <w:szCs w:val="24"/>
          <w:rtl w:val="0"/>
          <w:lang w:val="en-US"/>
        </w:rPr>
        <w:t>will be deemed to be received by the addressee:</w:t>
      </w:r>
    </w:p>
    <w:p>
      <w:pPr>
        <w:pStyle w:val="Heading 4 A"/>
        <w:numPr>
          <w:ilvl w:val="3"/>
          <w:numId w:val="11"/>
        </w:numPr>
        <w:bidi w:val="0"/>
        <w:rPr>
          <w:sz w:val="24"/>
          <w:szCs w:val="24"/>
        </w:rPr>
      </w:pPr>
      <w:r>
        <w:rPr>
          <w:rFonts w:ascii="Helvetica Neue" w:hAnsi="Helvetica Neue"/>
          <w:sz w:val="24"/>
          <w:szCs w:val="24"/>
          <w:rtl w:val="0"/>
          <w:lang w:val="en-US"/>
        </w:rPr>
        <w:t>(in the case of prepaid post) on the third business day after the date of posting to an address within Australia, and on the fifth business day after the date of posting to an address outside Australia;</w:t>
      </w:r>
    </w:p>
    <w:p>
      <w:pPr>
        <w:pStyle w:val="Heading 4 A"/>
        <w:numPr>
          <w:ilvl w:val="3"/>
          <w:numId w:val="11"/>
        </w:numPr>
        <w:bidi w:val="0"/>
        <w:rPr>
          <w:sz w:val="24"/>
          <w:szCs w:val="24"/>
        </w:rPr>
      </w:pPr>
      <w:r>
        <w:rPr>
          <w:rFonts w:ascii="Helvetica Neue" w:hAnsi="Helvetica Neue"/>
          <w:sz w:val="24"/>
          <w:szCs w:val="24"/>
          <w:rtl w:val="0"/>
          <w:lang w:val="en-US"/>
        </w:rPr>
        <w:t>(in the case of fax) at the local time (in the place of receipt of that fax) which then equates to the time at which that fax is sent as shown on the transmission report which is produced by the machine from which that fax is sent and which confirms transmission of that fax in its entirety, unless that local time is a non business day, or is after 5.00</w:t>
      </w:r>
      <w:r>
        <w:rPr>
          <w:rFonts w:ascii="Helvetica Neue" w:hAnsi="Helvetica Neue" w:hint="default"/>
          <w:sz w:val="24"/>
          <w:szCs w:val="24"/>
          <w:rtl w:val="0"/>
          <w:lang w:val="en-US"/>
        </w:rPr>
        <w:t> </w:t>
      </w:r>
      <w:r>
        <w:rPr>
          <w:rFonts w:ascii="Helvetica Neue" w:hAnsi="Helvetica Neue"/>
          <w:sz w:val="24"/>
          <w:szCs w:val="24"/>
          <w:rtl w:val="0"/>
          <w:lang w:val="en-US"/>
        </w:rPr>
        <w:t>pm on a business day, when that communication will be deemed to be received at 9.00 am on the next business day; and</w:t>
      </w:r>
    </w:p>
    <w:p>
      <w:pPr>
        <w:pStyle w:val="Heading 4 A"/>
        <w:numPr>
          <w:ilvl w:val="3"/>
          <w:numId w:val="11"/>
        </w:numPr>
        <w:bidi w:val="0"/>
        <w:rPr>
          <w:sz w:val="24"/>
          <w:szCs w:val="24"/>
        </w:rPr>
      </w:pPr>
      <w:r>
        <w:rPr>
          <w:rFonts w:ascii="Helvetica Neue" w:hAnsi="Helvetica Neue"/>
          <w:sz w:val="24"/>
          <w:szCs w:val="24"/>
          <w:rtl w:val="0"/>
          <w:lang w:val="en-US"/>
        </w:rPr>
        <w:t>(in the case of delivery by hand) on delivery at the address of the addressee as provided in paragraph 4(b), unless that delivery is made on a non business day, or after 5.00 pm on a business day, when that communication will be deemed to be received at 9.00 am on the next business day,</w:t>
      </w:r>
    </w:p>
    <w:p>
      <w:pPr>
        <w:pStyle w:val="IndentParaLevel2"/>
        <w:bidi w:val="0"/>
      </w:pPr>
      <w:r>
        <w:rPr>
          <w:rFonts w:ascii="Helvetica Neue" w:hAnsi="Helvetica Neue"/>
          <w:sz w:val="24"/>
          <w:szCs w:val="24"/>
          <w:rtl w:val="0"/>
          <w:lang w:val="en-US"/>
        </w:rPr>
        <w:t>and where "business day" means a day (not being a Saturday or Sunday) on which banks are generally open for business in the place of receipt of that communication.</w:t>
      </w:r>
    </w:p>
    <w:p>
      <w:pPr>
        <w:pStyle w:val="IndentParaLevel2"/>
        <w:tabs>
          <w:tab w:val="left" w:pos="964"/>
          <w:tab w:val="left" w:pos="1928"/>
          <w:tab w:val="left" w:pos="2892"/>
          <w:tab w:val="left" w:pos="3856"/>
          <w:tab w:val="left" w:pos="4820"/>
          <w:tab w:val="left" w:pos="5784"/>
          <w:tab w:val="left" w:pos="6748"/>
          <w:tab w:val="left" w:pos="7712"/>
          <w:tab w:val="left" w:pos="8676"/>
        </w:tabs>
        <w:ind w:left="0" w:firstLine="0"/>
      </w:pPr>
    </w:p>
    <w:p>
      <w:pPr>
        <w:pStyle w:val="Heading 1 A"/>
        <w:numPr>
          <w:ilvl w:val="0"/>
          <w:numId w:val="4"/>
        </w:numPr>
        <w:bidi w:val="0"/>
        <w:rPr>
          <w:sz w:val="32"/>
          <w:szCs w:val="32"/>
        </w:rPr>
      </w:pPr>
      <w:bookmarkStart w:name="_Toc17" w:id="30"/>
      <w:r>
        <w:rPr>
          <w:rFonts w:ascii="Helvetica Neue" w:hAnsi="Helvetica Neue"/>
          <w:sz w:val="32"/>
          <w:szCs w:val="32"/>
          <w:rtl w:val="0"/>
          <w:lang w:val="en-US"/>
        </w:rPr>
        <w:t>Counterparts</w:t>
      </w:r>
      <w:bookmarkEnd w:id="30"/>
    </w:p>
    <w:p>
      <w:pPr>
        <w:pStyle w:val="Heading 3 A"/>
        <w:tabs>
          <w:tab w:val="left" w:pos="964"/>
          <w:tab w:val="left" w:pos="2892"/>
          <w:tab w:val="left" w:pos="3856"/>
          <w:tab w:val="left" w:pos="4820"/>
          <w:tab w:val="left" w:pos="5784"/>
          <w:tab w:val="left" w:pos="6748"/>
          <w:tab w:val="left" w:pos="7712"/>
          <w:tab w:val="left" w:pos="8676"/>
        </w:tabs>
        <w:ind w:left="964" w:hanging="964"/>
      </w:pPr>
      <w:r>
        <w:rPr>
          <w:rFonts w:ascii="Helvetica Neue" w:hAnsi="Helvetica Neue"/>
          <w:sz w:val="24"/>
          <w:szCs w:val="24"/>
          <w:rtl w:val="0"/>
          <w:lang w:val="en-US"/>
        </w:rPr>
        <w:t>This Agreement may be executed in any number of counterparts and by the parties on separate counterparts.  Each counterpart constitutes an original of this Agreement, all of which together constitute one agreement.</w:t>
      </w:r>
    </w:p>
    <w:p>
      <w:pPr>
        <w:pStyle w:val="Heading 3 A"/>
        <w:tabs>
          <w:tab w:val="left" w:pos="964"/>
          <w:tab w:val="left" w:pos="2892"/>
          <w:tab w:val="left" w:pos="3856"/>
          <w:tab w:val="left" w:pos="4820"/>
          <w:tab w:val="left" w:pos="5784"/>
          <w:tab w:val="left" w:pos="6748"/>
          <w:tab w:val="left" w:pos="7712"/>
          <w:tab w:val="left" w:pos="8676"/>
        </w:tabs>
        <w:ind w:left="1928" w:hanging="964"/>
      </w:pPr>
    </w:p>
    <w:p>
      <w:pPr>
        <w:pStyle w:val="Heading 1 A"/>
        <w:numPr>
          <w:ilvl w:val="0"/>
          <w:numId w:val="4"/>
        </w:numPr>
        <w:bidi w:val="0"/>
        <w:rPr>
          <w:sz w:val="32"/>
          <w:szCs w:val="32"/>
        </w:rPr>
      </w:pPr>
      <w:bookmarkStart w:name="_Toc18" w:id="31"/>
      <w:r>
        <w:rPr>
          <w:rFonts w:ascii="Helvetica Neue" w:hAnsi="Helvetica Neue"/>
          <w:sz w:val="32"/>
          <w:szCs w:val="32"/>
          <w:rtl w:val="0"/>
          <w:lang w:val="en-US"/>
        </w:rPr>
        <w:t>Amendments</w:t>
      </w:r>
      <w:bookmarkEnd w:id="31"/>
    </w:p>
    <w:p>
      <w:pPr>
        <w:pStyle w:val="IndentParaLevel1"/>
        <w:bidi w:val="0"/>
      </w:pPr>
      <w:r>
        <w:rPr>
          <w:rFonts w:ascii="Helvetica Neue" w:hAnsi="Helvetica Neue"/>
          <w:sz w:val="24"/>
          <w:szCs w:val="24"/>
          <w:rtl w:val="0"/>
          <w:lang w:val="en-US"/>
        </w:rPr>
        <w:t>This Agreement may only be varied by a document signed by or on behalf of each of the parties.</w:t>
      </w:r>
    </w:p>
    <w:p>
      <w:pPr>
        <w:pStyle w:val="IndentParaLevel1"/>
        <w:tabs>
          <w:tab w:val="left" w:pos="964"/>
          <w:tab w:val="left" w:pos="1928"/>
          <w:tab w:val="left" w:pos="2892"/>
          <w:tab w:val="left" w:pos="3856"/>
          <w:tab w:val="left" w:pos="4820"/>
          <w:tab w:val="left" w:pos="5784"/>
          <w:tab w:val="left" w:pos="6748"/>
          <w:tab w:val="left" w:pos="7712"/>
          <w:tab w:val="left" w:pos="8676"/>
        </w:tabs>
        <w:ind w:left="0" w:firstLine="0"/>
      </w:pPr>
    </w:p>
    <w:p>
      <w:pPr>
        <w:pStyle w:val="Heading 1 A"/>
        <w:numPr>
          <w:ilvl w:val="0"/>
          <w:numId w:val="4"/>
        </w:numPr>
        <w:bidi w:val="0"/>
        <w:rPr>
          <w:sz w:val="32"/>
          <w:szCs w:val="32"/>
        </w:rPr>
      </w:pPr>
      <w:bookmarkStart w:name="_Toc19" w:id="32"/>
      <w:r>
        <w:rPr>
          <w:rFonts w:ascii="Helvetica Neue" w:hAnsi="Helvetica Neue"/>
          <w:sz w:val="32"/>
          <w:szCs w:val="32"/>
          <w:rtl w:val="0"/>
          <w:lang w:val="en-US"/>
        </w:rPr>
        <w:t>Confidentiality</w:t>
      </w:r>
      <w:bookmarkEnd w:id="32"/>
    </w:p>
    <w:p>
      <w:pPr>
        <w:pStyle w:val="Heading 3 A"/>
        <w:numPr>
          <w:ilvl w:val="2"/>
          <w:numId w:val="11"/>
        </w:numPr>
        <w:bidi w:val="0"/>
        <w:rPr>
          <w:sz w:val="24"/>
          <w:szCs w:val="24"/>
        </w:rPr>
      </w:pPr>
      <w:r>
        <w:rPr>
          <w:rFonts w:ascii="Helvetica Neue" w:hAnsi="Helvetica Neue"/>
          <w:sz w:val="24"/>
          <w:szCs w:val="24"/>
          <w:rtl w:val="0"/>
          <w:lang w:val="en-US"/>
        </w:rPr>
        <w:t>Subject to paragraph 7(b) and 7(c), each party must keep the terms of this Agreement confidential.</w:t>
      </w:r>
    </w:p>
    <w:p>
      <w:pPr>
        <w:pStyle w:val="Heading 3 A"/>
        <w:numPr>
          <w:ilvl w:val="2"/>
          <w:numId w:val="11"/>
        </w:numPr>
        <w:bidi w:val="0"/>
        <w:rPr>
          <w:sz w:val="24"/>
          <w:szCs w:val="24"/>
        </w:rPr>
      </w:pPr>
      <w:r>
        <w:rPr>
          <w:rFonts w:ascii="Helvetica Neue" w:hAnsi="Helvetica Neue"/>
          <w:sz w:val="24"/>
          <w:szCs w:val="24"/>
          <w:rtl w:val="0"/>
          <w:lang w:val="en-US"/>
        </w:rPr>
        <w:t>A party may make any disclosure in relation to this Agreement:</w:t>
      </w:r>
    </w:p>
    <w:p>
      <w:pPr>
        <w:pStyle w:val="Heading 4 A"/>
        <w:numPr>
          <w:ilvl w:val="3"/>
          <w:numId w:val="11"/>
        </w:numPr>
        <w:bidi w:val="0"/>
        <w:rPr>
          <w:sz w:val="24"/>
          <w:szCs w:val="24"/>
        </w:rPr>
      </w:pPr>
      <w:r>
        <w:rPr>
          <w:rFonts w:ascii="Helvetica Neue" w:hAnsi="Helvetica Neue"/>
          <w:sz w:val="24"/>
          <w:szCs w:val="24"/>
          <w:rtl w:val="0"/>
          <w:lang w:val="en-US"/>
        </w:rPr>
        <w:t>to any professional adviser, financial adviser, banker, financier or auditor where that person is obliged to keep the information confidential;</w:t>
      </w:r>
    </w:p>
    <w:p>
      <w:pPr>
        <w:pStyle w:val="Heading 4 A"/>
        <w:numPr>
          <w:ilvl w:val="3"/>
          <w:numId w:val="11"/>
        </w:numPr>
        <w:bidi w:val="0"/>
        <w:rPr>
          <w:sz w:val="24"/>
          <w:szCs w:val="24"/>
        </w:rPr>
      </w:pPr>
      <w:r>
        <w:rPr>
          <w:rFonts w:ascii="Helvetica Neue" w:hAnsi="Helvetica Neue"/>
          <w:sz w:val="24"/>
          <w:szCs w:val="24"/>
          <w:rtl w:val="0"/>
          <w:lang w:val="en-US"/>
        </w:rPr>
        <w:t>to comply with any applicable law, or any requirement of any regulatory body (including any relevant stock exchange);</w:t>
      </w:r>
    </w:p>
    <w:p>
      <w:pPr>
        <w:pStyle w:val="Heading 4 A"/>
        <w:numPr>
          <w:ilvl w:val="3"/>
          <w:numId w:val="11"/>
        </w:numPr>
        <w:bidi w:val="0"/>
        <w:rPr>
          <w:sz w:val="24"/>
          <w:szCs w:val="24"/>
        </w:rPr>
      </w:pPr>
      <w:r>
        <w:rPr>
          <w:rFonts w:ascii="Helvetica Neue" w:hAnsi="Helvetica Neue"/>
          <w:sz w:val="24"/>
          <w:szCs w:val="24"/>
          <w:rtl w:val="0"/>
          <w:lang w:val="en-US"/>
        </w:rPr>
        <w:t>to any of its employees to whom it is necessary to disclose the information;</w:t>
      </w:r>
    </w:p>
    <w:p>
      <w:pPr>
        <w:pStyle w:val="Heading 4 A"/>
        <w:numPr>
          <w:ilvl w:val="3"/>
          <w:numId w:val="11"/>
        </w:numPr>
        <w:bidi w:val="0"/>
        <w:rPr>
          <w:sz w:val="24"/>
          <w:szCs w:val="24"/>
        </w:rPr>
      </w:pPr>
      <w:r>
        <w:rPr>
          <w:rFonts w:ascii="Helvetica Neue" w:hAnsi="Helvetica Neue"/>
          <w:sz w:val="24"/>
          <w:szCs w:val="24"/>
          <w:rtl w:val="0"/>
          <w:lang w:val="en-US"/>
        </w:rPr>
        <w:t>to obtain the consent of any third party to any term of, or to any act pursuant to, this Agreement;</w:t>
      </w:r>
    </w:p>
    <w:p>
      <w:pPr>
        <w:pStyle w:val="Heading 4 A"/>
        <w:numPr>
          <w:ilvl w:val="3"/>
          <w:numId w:val="11"/>
        </w:numPr>
        <w:bidi w:val="0"/>
        <w:rPr>
          <w:sz w:val="24"/>
          <w:szCs w:val="24"/>
        </w:rPr>
      </w:pPr>
      <w:r>
        <w:rPr>
          <w:rFonts w:ascii="Helvetica Neue" w:hAnsi="Helvetica Neue"/>
          <w:sz w:val="24"/>
          <w:szCs w:val="24"/>
          <w:rtl w:val="0"/>
          <w:lang w:val="en-US"/>
        </w:rPr>
        <w:t>to enforce its rights or to defend any claim or action under this Agreement;</w:t>
      </w:r>
    </w:p>
    <w:p>
      <w:pPr>
        <w:pStyle w:val="Heading 4 A"/>
        <w:numPr>
          <w:ilvl w:val="3"/>
          <w:numId w:val="11"/>
        </w:numPr>
        <w:bidi w:val="0"/>
        <w:rPr>
          <w:sz w:val="24"/>
          <w:szCs w:val="24"/>
        </w:rPr>
      </w:pPr>
      <w:r>
        <w:rPr>
          <w:rFonts w:ascii="Helvetica Neue" w:hAnsi="Helvetica Neue"/>
          <w:sz w:val="24"/>
          <w:szCs w:val="24"/>
          <w:rtl w:val="0"/>
          <w:lang w:val="en-US"/>
        </w:rPr>
        <w:t>to a related body corporate, on receipt of its undertaking to keep the information confidential; or</w:t>
      </w:r>
    </w:p>
    <w:p>
      <w:pPr>
        <w:pStyle w:val="Heading 4 A"/>
        <w:numPr>
          <w:ilvl w:val="3"/>
          <w:numId w:val="11"/>
        </w:numPr>
        <w:bidi w:val="0"/>
        <w:rPr>
          <w:sz w:val="24"/>
          <w:szCs w:val="24"/>
        </w:rPr>
      </w:pPr>
      <w:r>
        <w:rPr>
          <w:rFonts w:ascii="Helvetica Neue" w:hAnsi="Helvetica Neue"/>
          <w:sz w:val="24"/>
          <w:szCs w:val="24"/>
          <w:rtl w:val="0"/>
          <w:lang w:val="en-US"/>
        </w:rPr>
        <w:t>where the information has come into the public domain through no fault of that party.</w:t>
      </w:r>
    </w:p>
    <w:p>
      <w:pPr>
        <w:pStyle w:val="Heading 3 A"/>
        <w:numPr>
          <w:ilvl w:val="2"/>
          <w:numId w:val="11"/>
        </w:numPr>
        <w:bidi w:val="0"/>
        <w:rPr>
          <w:sz w:val="24"/>
          <w:szCs w:val="24"/>
        </w:rPr>
      </w:pPr>
      <w:r>
        <w:rPr>
          <w:rFonts w:ascii="Helvetica Neue" w:hAnsi="Helvetica Neue"/>
          <w:sz w:val="24"/>
          <w:szCs w:val="24"/>
          <w:rtl w:val="0"/>
          <w:lang w:val="en-US"/>
        </w:rPr>
        <w:t>Except as required by applicable law or the requirements of any regulatory body (including any relevant stock exchange), all press releases and other public announcements in relation to this Agreement must be in terms agreed by the parties.</w:t>
      </w:r>
    </w:p>
    <w:p>
      <w:pPr>
        <w:pStyle w:val="Heading 3 A"/>
        <w:tabs>
          <w:tab w:val="left" w:pos="964"/>
          <w:tab w:val="left" w:pos="2892"/>
          <w:tab w:val="left" w:pos="3856"/>
          <w:tab w:val="left" w:pos="4820"/>
          <w:tab w:val="left" w:pos="5784"/>
          <w:tab w:val="left" w:pos="6748"/>
          <w:tab w:val="left" w:pos="7712"/>
          <w:tab w:val="left" w:pos="8676"/>
        </w:tabs>
        <w:ind w:left="1928" w:hanging="964"/>
      </w:pPr>
    </w:p>
    <w:p>
      <w:pPr>
        <w:pStyle w:val="Heading 1 A"/>
        <w:numPr>
          <w:ilvl w:val="0"/>
          <w:numId w:val="4"/>
        </w:numPr>
        <w:bidi w:val="0"/>
        <w:rPr>
          <w:sz w:val="32"/>
          <w:szCs w:val="32"/>
        </w:rPr>
      </w:pPr>
      <w:bookmarkStart w:name="_Toc20" w:id="33"/>
      <w:r>
        <w:rPr>
          <w:rFonts w:ascii="Helvetica Neue" w:hAnsi="Helvetica Neue"/>
          <w:sz w:val="32"/>
          <w:szCs w:val="32"/>
          <w:rtl w:val="0"/>
          <w:lang w:val="en-US"/>
        </w:rPr>
        <w:t>Merger</w:t>
      </w:r>
      <w:bookmarkEnd w:id="33"/>
    </w:p>
    <w:p>
      <w:pPr>
        <w:pStyle w:val="IndentParaLevel1"/>
        <w:bidi w:val="0"/>
      </w:pPr>
      <w:r>
        <w:rPr>
          <w:rFonts w:ascii="Helvetica Neue" w:hAnsi="Helvetica Neue"/>
          <w:sz w:val="24"/>
          <w:szCs w:val="24"/>
          <w:rtl w:val="0"/>
          <w:lang w:val="en-US"/>
        </w:rPr>
        <w:t>No right or obligation of any party will merge on completion of any transaction under this Agreement.  All rights and obligations under this Agreement survive the execution and delivery of any document which implements any transaction under this Agreement.</w:t>
      </w:r>
    </w:p>
    <w:p>
      <w:pPr>
        <w:pStyle w:val="IndentParaLevel1"/>
        <w:tabs>
          <w:tab w:val="left" w:pos="964"/>
          <w:tab w:val="left" w:pos="1928"/>
          <w:tab w:val="left" w:pos="2892"/>
          <w:tab w:val="left" w:pos="3856"/>
          <w:tab w:val="left" w:pos="4820"/>
          <w:tab w:val="left" w:pos="5784"/>
          <w:tab w:val="left" w:pos="6748"/>
          <w:tab w:val="left" w:pos="7712"/>
          <w:tab w:val="left" w:pos="8676"/>
        </w:tabs>
        <w:ind w:left="0" w:firstLine="0"/>
      </w:pPr>
    </w:p>
    <w:p>
      <w:pPr>
        <w:pStyle w:val="Heading 1 A"/>
        <w:numPr>
          <w:ilvl w:val="0"/>
          <w:numId w:val="4"/>
        </w:numPr>
        <w:bidi w:val="0"/>
        <w:rPr>
          <w:sz w:val="32"/>
          <w:szCs w:val="32"/>
        </w:rPr>
      </w:pPr>
      <w:bookmarkStart w:name="_Toc21" w:id="34"/>
      <w:r>
        <w:rPr>
          <w:rFonts w:ascii="Helvetica Neue" w:hAnsi="Helvetica Neue"/>
          <w:sz w:val="32"/>
          <w:szCs w:val="32"/>
          <w:rtl w:val="0"/>
          <w:lang w:val="en-US"/>
        </w:rPr>
        <w:t>Assignments</w:t>
      </w:r>
      <w:bookmarkEnd w:id="34"/>
    </w:p>
    <w:p>
      <w:pPr>
        <w:pStyle w:val="IndentParaLevel1"/>
        <w:bidi w:val="0"/>
      </w:pPr>
      <w:r>
        <w:rPr>
          <w:rFonts w:ascii="Helvetica Neue" w:hAnsi="Helvetica Neue"/>
          <w:sz w:val="24"/>
          <w:szCs w:val="24"/>
          <w:rtl w:val="0"/>
          <w:lang w:val="en-US"/>
        </w:rPr>
        <w:t>No party may assign or otherwise transfer all or any part of its rights under this Agreement without the prior written consent of the other party.</w:t>
      </w:r>
    </w:p>
    <w:p>
      <w:pPr>
        <w:pStyle w:val="IndentParaLevel1"/>
        <w:tabs>
          <w:tab w:val="left" w:pos="964"/>
          <w:tab w:val="left" w:pos="1928"/>
          <w:tab w:val="left" w:pos="2892"/>
          <w:tab w:val="left" w:pos="3856"/>
          <w:tab w:val="left" w:pos="4820"/>
          <w:tab w:val="left" w:pos="5784"/>
          <w:tab w:val="left" w:pos="6748"/>
          <w:tab w:val="left" w:pos="7712"/>
          <w:tab w:val="left" w:pos="8676"/>
        </w:tabs>
        <w:ind w:left="0" w:firstLine="0"/>
      </w:pPr>
    </w:p>
    <w:p>
      <w:pPr>
        <w:pStyle w:val="Heading 1 A"/>
        <w:numPr>
          <w:ilvl w:val="0"/>
          <w:numId w:val="4"/>
        </w:numPr>
        <w:bidi w:val="0"/>
        <w:rPr>
          <w:sz w:val="32"/>
          <w:szCs w:val="32"/>
        </w:rPr>
      </w:pPr>
      <w:bookmarkStart w:name="_Toc22" w:id="35"/>
      <w:r>
        <w:rPr>
          <w:rFonts w:ascii="Helvetica Neue" w:hAnsi="Helvetica Neue"/>
          <w:sz w:val="32"/>
          <w:szCs w:val="32"/>
          <w:rtl w:val="0"/>
          <w:lang w:val="en-US"/>
        </w:rPr>
        <w:t>Waiver</w:t>
      </w:r>
      <w:bookmarkEnd w:id="35"/>
    </w:p>
    <w:p>
      <w:pPr>
        <w:pStyle w:val="Heading 3 A"/>
        <w:numPr>
          <w:ilvl w:val="2"/>
          <w:numId w:val="11"/>
        </w:numPr>
        <w:bidi w:val="0"/>
        <w:rPr>
          <w:sz w:val="24"/>
          <w:szCs w:val="24"/>
        </w:rPr>
      </w:pPr>
      <w:r>
        <w:rPr>
          <w:rFonts w:ascii="Helvetica Neue" w:hAnsi="Helvetica Neue"/>
          <w:sz w:val="24"/>
          <w:szCs w:val="24"/>
          <w:rtl w:val="0"/>
          <w:lang w:val="en-US"/>
        </w:rPr>
        <w:t>Failure to exercise or enforce or a delay in exercising or enforcing or the partial exercise or enforcement of any right, power or remedy provided by law or under this Agreement by any party will not in any way preclude, or operate as a waiver of, any exercise or enforcement, or further exercise or enforcement of that or any other right, power or remedy provided by law or under this Agreement.</w:t>
      </w:r>
    </w:p>
    <w:p>
      <w:pPr>
        <w:pStyle w:val="Heading 3 A"/>
        <w:numPr>
          <w:ilvl w:val="2"/>
          <w:numId w:val="11"/>
        </w:numPr>
        <w:bidi w:val="0"/>
        <w:rPr>
          <w:sz w:val="24"/>
          <w:szCs w:val="24"/>
        </w:rPr>
      </w:pPr>
      <w:r>
        <w:rPr>
          <w:rFonts w:ascii="Helvetica Neue" w:hAnsi="Helvetica Neue"/>
          <w:sz w:val="24"/>
          <w:szCs w:val="24"/>
          <w:rtl w:val="0"/>
          <w:lang w:val="en-US"/>
        </w:rPr>
        <w:t>Any waiver or consent given by any party under this Agreement will only be effective and binding on that party if it is given or confirmed in writing by that party.</w:t>
      </w:r>
    </w:p>
    <w:p>
      <w:pPr>
        <w:pStyle w:val="Heading 3 A"/>
        <w:numPr>
          <w:ilvl w:val="2"/>
          <w:numId w:val="11"/>
        </w:numPr>
        <w:bidi w:val="0"/>
        <w:rPr>
          <w:sz w:val="24"/>
          <w:szCs w:val="24"/>
        </w:rPr>
      </w:pPr>
      <w:r>
        <w:rPr>
          <w:rFonts w:ascii="Helvetica Neue" w:hAnsi="Helvetica Neue"/>
          <w:sz w:val="24"/>
          <w:szCs w:val="24"/>
          <w:rtl w:val="0"/>
          <w:lang w:val="en-US"/>
        </w:rPr>
        <w:t>No waiver of a breach of any term of this Agreement will operate as a waiver of another breach of that term or of a breach of any other term of this Agreement.</w:t>
      </w:r>
    </w:p>
    <w:p>
      <w:pPr>
        <w:pStyle w:val="Heading 1 A"/>
        <w:numPr>
          <w:ilvl w:val="0"/>
          <w:numId w:val="4"/>
        </w:numPr>
        <w:bidi w:val="0"/>
        <w:rPr>
          <w:sz w:val="32"/>
          <w:szCs w:val="32"/>
        </w:rPr>
      </w:pPr>
      <w:bookmarkStart w:name="_Toc23" w:id="36"/>
      <w:r>
        <w:rPr>
          <w:rFonts w:ascii="Helvetica Neue" w:hAnsi="Helvetica Neue"/>
          <w:sz w:val="32"/>
          <w:szCs w:val="32"/>
          <w:rtl w:val="0"/>
          <w:lang w:val="en-US"/>
        </w:rPr>
        <w:t>Expenses</w:t>
      </w:r>
      <w:bookmarkEnd w:id="36"/>
    </w:p>
    <w:p>
      <w:pPr>
        <w:pStyle w:val="Heading 3 A"/>
        <w:numPr>
          <w:ilvl w:val="2"/>
          <w:numId w:val="11"/>
        </w:numPr>
        <w:bidi w:val="0"/>
        <w:rPr>
          <w:sz w:val="24"/>
          <w:szCs w:val="24"/>
        </w:rPr>
      </w:pPr>
      <w:r>
        <w:rPr>
          <w:rFonts w:ascii="Helvetica Neue" w:hAnsi="Helvetica Neue"/>
          <w:sz w:val="24"/>
          <w:szCs w:val="24"/>
          <w:rtl w:val="0"/>
          <w:lang w:val="en-US"/>
        </w:rPr>
        <w:t>Except as otherwise provided in this Agreement, each party will pay its own costs and expenses in connection with the negotiation, preparation, execution, and performance of this Agreement.</w:t>
      </w:r>
    </w:p>
    <w:p>
      <w:pPr>
        <w:pStyle w:val="Heading 3 A"/>
        <w:numPr>
          <w:ilvl w:val="2"/>
          <w:numId w:val="11"/>
        </w:numPr>
        <w:bidi w:val="0"/>
        <w:rPr>
          <w:sz w:val="24"/>
          <w:szCs w:val="24"/>
        </w:rPr>
      </w:pPr>
      <w:r>
        <w:rPr>
          <w:rFonts w:ascii="Helvetica Neue" w:hAnsi="Helvetica Neue"/>
          <w:sz w:val="24"/>
          <w:szCs w:val="24"/>
          <w:rtl w:val="0"/>
          <w:lang w:val="en-US"/>
        </w:rPr>
        <w:t>The Company must pay all stamp duties assessed on or in relation to this Agreement.</w:t>
      </w:r>
    </w:p>
    <w:p>
      <w:pPr>
        <w:pStyle w:val="Heading 3 A"/>
        <w:tabs>
          <w:tab w:val="left" w:pos="964"/>
          <w:tab w:val="left" w:pos="2892"/>
          <w:tab w:val="left" w:pos="3856"/>
          <w:tab w:val="left" w:pos="4820"/>
          <w:tab w:val="left" w:pos="5784"/>
          <w:tab w:val="left" w:pos="6748"/>
          <w:tab w:val="left" w:pos="7712"/>
          <w:tab w:val="left" w:pos="8676"/>
        </w:tabs>
        <w:ind w:left="1928" w:hanging="964"/>
      </w:pPr>
    </w:p>
    <w:p>
      <w:pPr>
        <w:pStyle w:val="Heading 1 A"/>
        <w:tabs>
          <w:tab w:val="left" w:pos="1928"/>
          <w:tab w:val="left" w:pos="2892"/>
          <w:tab w:val="left" w:pos="3856"/>
          <w:tab w:val="left" w:pos="4820"/>
          <w:tab w:val="left" w:pos="5784"/>
          <w:tab w:val="left" w:pos="6748"/>
          <w:tab w:val="left" w:pos="7712"/>
          <w:tab w:val="left" w:pos="8676"/>
        </w:tabs>
      </w:pPr>
      <w:r>
        <w:rPr>
          <w:rFonts w:ascii="Arial Unicode MS" w:cs="Arial Unicode MS" w:hAnsi="Arial Unicode MS" w:eastAsia="Arial Unicode MS"/>
          <w:b w:val="0"/>
          <w:bCs w:val="0"/>
          <w:i w:val="0"/>
          <w:iCs w:val="0"/>
          <w:color w:val="000000"/>
          <w:sz w:val="24"/>
          <w:szCs w:val="24"/>
        </w:rPr>
        <w:br w:type="page"/>
      </w:r>
    </w:p>
    <w:p>
      <w:pPr>
        <w:pStyle w:val="Heading 1 A"/>
        <w:numPr>
          <w:ilvl w:val="0"/>
          <w:numId w:val="4"/>
        </w:numPr>
        <w:bidi w:val="0"/>
        <w:rPr>
          <w:sz w:val="32"/>
          <w:szCs w:val="32"/>
        </w:rPr>
      </w:pPr>
      <w:bookmarkStart w:name="_Toc24" w:id="37"/>
      <w:r>
        <w:rPr>
          <w:rFonts w:ascii="Helvetica Neue" w:hAnsi="Helvetica Neue"/>
          <w:sz w:val="32"/>
          <w:szCs w:val="32"/>
          <w:rtl w:val="0"/>
          <w:lang w:val="en-US"/>
        </w:rPr>
        <w:t>No representation or reliance</w:t>
      </w:r>
      <w:bookmarkEnd w:id="37"/>
    </w:p>
    <w:p>
      <w:pPr>
        <w:pStyle w:val="Heading 3 A"/>
        <w:numPr>
          <w:ilvl w:val="2"/>
          <w:numId w:val="11"/>
        </w:numPr>
        <w:bidi w:val="0"/>
        <w:rPr>
          <w:sz w:val="24"/>
          <w:szCs w:val="24"/>
        </w:rPr>
      </w:pPr>
      <w:r>
        <w:rPr>
          <w:rFonts w:ascii="Helvetica Neue" w:hAnsi="Helvetica Neue"/>
          <w:sz w:val="24"/>
          <w:szCs w:val="24"/>
          <w:rtl w:val="0"/>
          <w:lang w:val="en-US"/>
        </w:rPr>
        <w:t>Each party acknowledges that no party (nor any person acting on its behalf) has made any representation or other inducement to it to enter into this Agreement, except for representations or inducements expressly set out in this Agreement.</w:t>
      </w:r>
    </w:p>
    <w:p>
      <w:pPr>
        <w:pStyle w:val="Heading 3 A"/>
        <w:numPr>
          <w:ilvl w:val="2"/>
          <w:numId w:val="11"/>
        </w:numPr>
        <w:bidi w:val="0"/>
        <w:rPr>
          <w:sz w:val="24"/>
          <w:szCs w:val="24"/>
        </w:rPr>
      </w:pPr>
      <w:r>
        <w:rPr>
          <w:rFonts w:ascii="Helvetica Neue" w:hAnsi="Helvetica Neue"/>
          <w:sz w:val="24"/>
          <w:szCs w:val="24"/>
          <w:rtl w:val="0"/>
          <w:lang w:val="en-US"/>
        </w:rPr>
        <w:t>Each party acknowledges and confirms that it does not enter into this Agreement in reliance on any representation or other inducement by or on behalf of any other party, except for any representation or inducement expressly set out in this Agreement.</w:t>
      </w:r>
    </w:p>
    <w:p>
      <w:pPr>
        <w:pStyle w:val="Heading 3 A"/>
        <w:tabs>
          <w:tab w:val="left" w:pos="964"/>
          <w:tab w:val="left" w:pos="2892"/>
          <w:tab w:val="left" w:pos="3856"/>
          <w:tab w:val="left" w:pos="4820"/>
          <w:tab w:val="left" w:pos="5784"/>
          <w:tab w:val="left" w:pos="6748"/>
          <w:tab w:val="left" w:pos="7712"/>
          <w:tab w:val="left" w:pos="8676"/>
        </w:tabs>
        <w:ind w:left="1928" w:hanging="964"/>
      </w:pPr>
    </w:p>
    <w:p>
      <w:pPr>
        <w:pStyle w:val="Heading 1 A"/>
        <w:numPr>
          <w:ilvl w:val="0"/>
          <w:numId w:val="4"/>
        </w:numPr>
        <w:bidi w:val="0"/>
        <w:rPr>
          <w:sz w:val="32"/>
          <w:szCs w:val="32"/>
        </w:rPr>
      </w:pPr>
      <w:bookmarkStart w:name="_Toc25" w:id="38"/>
      <w:r>
        <w:rPr>
          <w:rFonts w:ascii="Helvetica Neue" w:hAnsi="Helvetica Neue"/>
          <w:sz w:val="32"/>
          <w:szCs w:val="32"/>
          <w:rtl w:val="0"/>
          <w:lang w:val="en-US"/>
        </w:rPr>
        <w:t>Entire Agreement</w:t>
      </w:r>
      <w:bookmarkEnd w:id="38"/>
    </w:p>
    <w:p>
      <w:pPr>
        <w:pStyle w:val="IndentParaLevel1"/>
        <w:bidi w:val="0"/>
      </w:pPr>
      <w:r>
        <w:rPr>
          <w:rFonts w:ascii="Helvetica Neue" w:hAnsi="Helvetica Neue"/>
          <w:sz w:val="24"/>
          <w:szCs w:val="24"/>
          <w:rtl w:val="0"/>
          <w:lang w:val="en-US"/>
        </w:rPr>
        <w:t>To the extent permitted by law, in relation to the subject matter of this Agreement, this Agreement:</w:t>
      </w:r>
    </w:p>
    <w:p>
      <w:pPr>
        <w:pStyle w:val="Heading 3 A"/>
        <w:numPr>
          <w:ilvl w:val="2"/>
          <w:numId w:val="11"/>
        </w:numPr>
        <w:bidi w:val="0"/>
        <w:rPr>
          <w:sz w:val="24"/>
          <w:szCs w:val="24"/>
        </w:rPr>
      </w:pPr>
      <w:r>
        <w:rPr>
          <w:rFonts w:ascii="Helvetica Neue" w:hAnsi="Helvetica Neue"/>
          <w:sz w:val="24"/>
          <w:szCs w:val="24"/>
          <w:rtl w:val="0"/>
          <w:lang w:val="en-US"/>
        </w:rPr>
        <w:t>embodies the entire understanding of the parties, and constitutes the entire terms agreed on between the parties; and</w:t>
      </w:r>
    </w:p>
    <w:p>
      <w:pPr>
        <w:pStyle w:val="Heading 3 A"/>
        <w:numPr>
          <w:ilvl w:val="2"/>
          <w:numId w:val="11"/>
        </w:numPr>
        <w:bidi w:val="0"/>
        <w:rPr>
          <w:sz w:val="24"/>
          <w:szCs w:val="24"/>
        </w:rPr>
      </w:pPr>
      <w:r>
        <w:rPr>
          <w:rFonts w:ascii="Helvetica Neue" w:hAnsi="Helvetica Neue"/>
          <w:sz w:val="24"/>
          <w:szCs w:val="24"/>
          <w:rtl w:val="0"/>
          <w:lang w:val="en-US"/>
        </w:rPr>
        <w:t>supersedes any prior written or other agreement between the parties.</w:t>
      </w:r>
      <w:bookmarkEnd w:id="1"/>
    </w:p>
    <w:sectPr>
      <w:headerReference w:type="default" r:id="rId10"/>
      <w:footerReference w:type="default" r:id="rId11"/>
      <w:pgSz w:w="11900" w:h="16840" w:orient="portrait"/>
      <w:pgMar w:top="1134" w:right="1134" w:bottom="1134" w:left="1417" w:header="1077" w:footer="562"/>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Lucida Grande">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ree Form"/>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9335"/>
        <w:tab w:val="clear" w:pos="9356"/>
      </w:tabs>
    </w:pPr>
    <w:r>
      <w:rPr>
        <w:rStyle w:val="DocsOpen Filename"/>
        <w:rtl w:val="0"/>
        <w:lang w:val="en-US"/>
      </w:rPr>
      <w:t>Legal\109679609.1</w:t>
    </w:r>
  </w:p>
</w:ftr>
</file>

<file path=word/footer3.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ree Form"/>
      <w:bidi w:val="0"/>
    </w:pPr>
    <w:r/>
  </w:p>
</w:ftr>
</file>

<file path=word/footer4.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8975"/>
        <w:tab w:val="clear" w:pos="9356"/>
      </w:tabs>
      <w:ind w:right="36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bidi w:val="0"/>
      <w:rPr>
        <w:rFonts w:ascii="Lucida Grande" w:cs="Lucida Grande" w:hAnsi="Lucida Grande" w:eastAsia="Lucida Grande"/>
        <w:b w:val="1"/>
        <w:bCs w:val="1"/>
        <w:color w:val="ff0000"/>
        <w:sz w:val="24"/>
        <w:szCs w:val="24"/>
      </w:rPr>
    </w:pPr>
    <w:r>
      <w:rPr>
        <w:sz w:val="22"/>
        <w:szCs w:val="22"/>
      </w:rPr>
      <w:drawing>
        <wp:inline distT="0" distB="0" distL="0" distR="0">
          <wp:extent cx="1833677" cy="42830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PAYYAP_header_logo.tiff"/>
                  <pic:cNvPicPr>
                    <a:picLocks noChangeAspect="0"/>
                  </pic:cNvPicPr>
                </pic:nvPicPr>
                <pic:blipFill>
                  <a:blip r:embed="rId1">
                    <a:extLst/>
                  </a:blip>
                  <a:stretch>
                    <a:fillRect/>
                  </a:stretch>
                </pic:blipFill>
                <pic:spPr>
                  <a:xfrm>
                    <a:off x="0" y="0"/>
                    <a:ext cx="1833677" cy="428308"/>
                  </a:xfrm>
                  <a:prstGeom prst="rect">
                    <a:avLst/>
                  </a:prstGeom>
                  <a:ln w="9525" cap="flat">
                    <a:noFill/>
                    <a:round/>
                  </a:ln>
                  <a:effectLst/>
                </pic:spPr>
              </pic:pic>
            </a:graphicData>
          </a:graphic>
        </wp:inline>
      </w:drawing>
    </w:r>
    <w:r>
      <w:rPr>
        <w:sz w:val="22"/>
        <w:szCs w:val="22"/>
        <w:rtl w:val="0"/>
      </w:rPr>
      <w:tab/>
      <w:tab/>
      <w:tab/>
      <w:tab/>
      <w:t xml:space="preserve">          </w:t>
    </w:r>
    <w:r>
      <w:rPr>
        <w:rFonts w:ascii="Lucida Grande" w:hAnsi="Lucida Grande"/>
        <w:b w:val="1"/>
        <w:bCs w:val="1"/>
        <w:color w:val="ff0000"/>
        <w:sz w:val="24"/>
        <w:szCs w:val="24"/>
        <w:rtl w:val="0"/>
      </w:rPr>
      <w:t>Subscription Agreement</w:t>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bidi w:val="0"/>
      <w:rPr>
        <w:rFonts w:ascii="Lucida Grande" w:cs="Lucida Grande" w:hAnsi="Lucida Grande" w:eastAsia="Lucida Grande"/>
        <w:b w:val="1"/>
        <w:bCs w:val="1"/>
        <w:color w:val="ff0000"/>
        <w:sz w:val="24"/>
        <w:szCs w:val="24"/>
      </w:rPr>
    </w:pPr>
    <w:r>
      <mc:AlternateContent>
        <mc:Choice Requires="wps">
          <w:drawing>
            <wp:anchor distT="0" distB="0" distL="0" distR="0" simplePos="0" relativeHeight="251658240" behindDoc="1" locked="0" layoutInCell="1" allowOverlap="1">
              <wp:simplePos x="0" y="0"/>
              <wp:positionH relativeFrom="page">
                <wp:posOffset>6837044</wp:posOffset>
              </wp:positionH>
              <wp:positionV relativeFrom="page">
                <wp:posOffset>10106659</wp:posOffset>
              </wp:positionV>
              <wp:extent cx="98425" cy="1270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98425" cy="127000"/>
                      </a:xfrm>
                      <a:prstGeom prst="rect">
                        <a:avLst/>
                      </a:prstGeom>
                      <a:solidFill>
                        <a:srgbClr val="FFFFFF"/>
                      </a:solidFill>
                      <a:ln w="12700" cap="flat">
                        <a:noFill/>
                        <a:miter lim="400000"/>
                      </a:ln>
                      <a:effectLst/>
                    </wps:spPr>
                    <wps:txbx>
                      <w:txbxContent>
                        <w:p>
                          <w:pPr>
                            <w:pStyle w:val="Footer"/>
                            <w:bidi w:val="0"/>
                          </w:pPr>
                          <w:r>
                            <w:rPr>
                              <w:sz w:val="18"/>
                              <w:szCs w:val="18"/>
                            </w:rPr>
                            <w:fldChar w:fldCharType="begin" w:fldLock="0"/>
                          </w:r>
                          <w:r>
                            <w:rPr>
                              <w:sz w:val="18"/>
                              <w:szCs w:val="18"/>
                            </w:rPr>
                            <w:instrText xml:space="preserve"> PAGE </w:instrText>
                          </w:r>
                          <w:r>
                            <w:rPr>
                              <w:sz w:val="18"/>
                              <w:szCs w:val="18"/>
                            </w:rPr>
                            <w:fldChar w:fldCharType="separate" w:fldLock="0"/>
                          </w:r>
                          <w:r>
                            <w:rPr>
                              <w:sz w:val="18"/>
                              <w:szCs w:val="18"/>
                            </w:rPr>
                          </w:r>
                          <w:r>
                            <w:rPr>
                              <w:sz w:val="18"/>
                              <w:szCs w:val="18"/>
                            </w:rPr>
                            <w:fldChar w:fldCharType="end" w:fldLock="0"/>
                          </w:r>
                          <w:r>
                            <w:rPr>
                              <w:rFonts w:cs="Arial Unicode MS" w:eastAsia="Arial Unicode MS"/>
                              <w:sz w:val="18"/>
                              <w:szCs w:val="18"/>
                              <w:rtl w:val="0"/>
                              <w:lang w:val="en-US"/>
                            </w:rPr>
                            <w:t>.</w:t>
                          </w:r>
                        </w:p>
                      </w:txbxContent>
                    </wps:txbx>
                    <wps:bodyPr wrap="square" lIns="0" tIns="0" rIns="0" bIns="0" numCol="1" anchor="t">
                      <a:noAutofit/>
                    </wps:bodyPr>
                  </wps:wsp>
                </a:graphicData>
              </a:graphic>
            </wp:anchor>
          </w:drawing>
        </mc:Choice>
        <mc:Fallback>
          <w:pict>
            <v:rect id="_x0000_s1026" style="visibility:visible;position:absolute;margin-left:538.3pt;margin-top:795.8pt;width:7.8pt;height:10.0pt;z-index:-251658240;mso-position-horizontal:absolute;mso-position-horizontal-relative:page;mso-position-vertical:absolute;mso-position-vertical-relative:page;mso-wrap-distance-left:0.0pt;mso-wrap-distance-top:0.0pt;mso-wrap-distance-right:0.0pt;mso-wrap-distance-bottom:0.0pt;">
              <v:fill color="#FFFFFF" opacity="100.0%" type="solid"/>
              <v:stroke on="f" weight="1.0pt" dashstyle="solid" endcap="flat" miterlimit="400.0%" joinstyle="miter" linestyle="single" startarrow="none" startarrowwidth="medium" startarrowlength="medium" endarrow="none" endarrowwidth="medium" endarrowlength="medium"/>
              <v:textbox>
                <w:txbxContent>
                  <w:p>
                    <w:pPr>
                      <w:pStyle w:val="Footer"/>
                      <w:bidi w:val="0"/>
                    </w:pPr>
                    <w:r>
                      <w:rPr>
                        <w:sz w:val="18"/>
                        <w:szCs w:val="18"/>
                      </w:rPr>
                      <w:fldChar w:fldCharType="begin" w:fldLock="0"/>
                    </w:r>
                    <w:r>
                      <w:rPr>
                        <w:sz w:val="18"/>
                        <w:szCs w:val="18"/>
                      </w:rPr>
                      <w:instrText xml:space="preserve"> PAGE </w:instrText>
                    </w:r>
                    <w:r>
                      <w:rPr>
                        <w:sz w:val="18"/>
                        <w:szCs w:val="18"/>
                      </w:rPr>
                      <w:fldChar w:fldCharType="separate" w:fldLock="0"/>
                    </w:r>
                    <w:r>
                      <w:rPr>
                        <w:sz w:val="18"/>
                        <w:szCs w:val="18"/>
                      </w:rPr>
                    </w:r>
                    <w:r>
                      <w:rPr>
                        <w:sz w:val="18"/>
                        <w:szCs w:val="18"/>
                      </w:rPr>
                      <w:fldChar w:fldCharType="end" w:fldLock="0"/>
                    </w:r>
                    <w:r>
                      <w:rPr>
                        <w:rFonts w:cs="Arial Unicode MS" w:eastAsia="Arial Unicode MS"/>
                        <w:sz w:val="18"/>
                        <w:szCs w:val="18"/>
                        <w:rtl w:val="0"/>
                        <w:lang w:val="en-US"/>
                      </w:rPr>
                      <w:t>.</w:t>
                    </w:r>
                  </w:p>
                </w:txbxContent>
              </v:textbox>
              <w10:wrap type="none" side="bothSides" anchorx="page" anchory="page"/>
            </v:rect>
          </w:pict>
        </mc:Fallback>
      </mc:AlternateContent>
    </w:r>
    <w:r>
      <w:rPr>
        <w:sz w:val="22"/>
        <w:szCs w:val="22"/>
      </w:rPr>
      <w:drawing>
        <wp:inline distT="0" distB="0" distL="0" distR="0">
          <wp:extent cx="1833677" cy="428308"/>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PAYYAP_header_logo.tiff"/>
                  <pic:cNvPicPr>
                    <a:picLocks noChangeAspect="0"/>
                  </pic:cNvPicPr>
                </pic:nvPicPr>
                <pic:blipFill>
                  <a:blip r:embed="rId1">
                    <a:extLst/>
                  </a:blip>
                  <a:stretch>
                    <a:fillRect/>
                  </a:stretch>
                </pic:blipFill>
                <pic:spPr>
                  <a:xfrm>
                    <a:off x="0" y="0"/>
                    <a:ext cx="1833677" cy="428308"/>
                  </a:xfrm>
                  <a:prstGeom prst="rect">
                    <a:avLst/>
                  </a:prstGeom>
                  <a:ln w="9525" cap="flat">
                    <a:noFill/>
                    <a:round/>
                  </a:ln>
                  <a:effectLst/>
                </pic:spPr>
              </pic:pic>
            </a:graphicData>
          </a:graphic>
        </wp:inline>
      </w:drawing>
    </w:r>
    <w:r>
      <w:rPr>
        <w:sz w:val="22"/>
        <w:szCs w:val="22"/>
        <w:rtl w:val="0"/>
      </w:rPr>
      <w:tab/>
      <w:tab/>
      <w:tab/>
      <w:tab/>
      <w:t xml:space="preserve">          </w:t>
    </w:r>
    <w:r>
      <w:rPr>
        <w:rFonts w:ascii="Lucida Grande" w:hAnsi="Lucida Grande"/>
        <w:b w:val="1"/>
        <w:bCs w:val="1"/>
        <w:color w:val="ff0000"/>
        <w:sz w:val="24"/>
        <w:szCs w:val="24"/>
        <w:rtl w:val="0"/>
      </w:rPr>
      <w:t>Subscription Agreement</w:t>
    </w:r>
  </w:p>
</w:hdr>
</file>

<file path=word/header3.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bidi w:val="0"/>
      <w:rPr>
        <w:rFonts w:ascii="Lucida Grande" w:cs="Lucida Grande" w:hAnsi="Lucida Grande" w:eastAsia="Lucida Grande"/>
        <w:b w:val="1"/>
        <w:bCs w:val="1"/>
        <w:sz w:val="24"/>
        <w:szCs w:val="24"/>
      </w:rPr>
    </w:pPr>
    <w:r>
      <w:rPr>
        <w:sz w:val="22"/>
        <w:szCs w:val="22"/>
      </w:rPr>
      <w:drawing>
        <wp:inline distT="0" distB="0" distL="0" distR="0">
          <wp:extent cx="1833677" cy="428308"/>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PAYYAP_header_logo.tiff"/>
                  <pic:cNvPicPr>
                    <a:picLocks noChangeAspect="0"/>
                  </pic:cNvPicPr>
                </pic:nvPicPr>
                <pic:blipFill>
                  <a:blip r:embed="rId1">
                    <a:extLst/>
                  </a:blip>
                  <a:stretch>
                    <a:fillRect/>
                  </a:stretch>
                </pic:blipFill>
                <pic:spPr>
                  <a:xfrm>
                    <a:off x="0" y="0"/>
                    <a:ext cx="1833677" cy="428308"/>
                  </a:xfrm>
                  <a:prstGeom prst="rect">
                    <a:avLst/>
                  </a:prstGeom>
                  <a:ln w="9525" cap="flat">
                    <a:noFill/>
                    <a:round/>
                  </a:ln>
                  <a:effectLst/>
                </pic:spPr>
              </pic:pic>
            </a:graphicData>
          </a:graphic>
        </wp:inline>
      </w:drawing>
    </w:r>
    <w:r>
      <w:rPr>
        <w:sz w:val="22"/>
        <w:szCs w:val="22"/>
        <w:rtl w:val="0"/>
      </w:rPr>
      <w:tab/>
      <w:tab/>
      <w:tab/>
      <w:tab/>
      <w:t xml:space="preserve">          </w:t>
    </w:r>
    <w:r>
      <w:rPr>
        <w:rFonts w:ascii="Lucida Grande" w:hAnsi="Lucida Grande"/>
        <w:b w:val="1"/>
        <w:bCs w:val="1"/>
        <w:sz w:val="24"/>
        <w:szCs w:val="24"/>
        <w:rtl w:val="0"/>
      </w:rPr>
      <w:t>Subscription Agreement</w:t>
    </w:r>
  </w:p>
</w:hdr>
</file>

<file path=word/header4.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bidi w:val="0"/>
      <w:rPr>
        <w:rFonts w:ascii="Lucida Grande" w:cs="Lucida Grande" w:hAnsi="Lucida Grande" w:eastAsia="Lucida Grande"/>
        <w:b w:val="1"/>
        <w:bCs w:val="1"/>
        <w:sz w:val="24"/>
        <w:szCs w:val="24"/>
      </w:rPr>
    </w:pPr>
    <w:r>
      <mc:AlternateContent>
        <mc:Choice Requires="wps">
          <w:drawing>
            <wp:anchor distT="0" distB="0" distL="0" distR="0" simplePos="0" relativeHeight="251658240" behindDoc="1" locked="0" layoutInCell="1" allowOverlap="1">
              <wp:simplePos x="0" y="0"/>
              <wp:positionH relativeFrom="page">
                <wp:posOffset>6839584</wp:posOffset>
              </wp:positionH>
              <wp:positionV relativeFrom="page">
                <wp:posOffset>10103484</wp:posOffset>
              </wp:positionV>
              <wp:extent cx="69850" cy="127000"/>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69850" cy="127000"/>
                      </a:xfrm>
                      <a:prstGeom prst="rect">
                        <a:avLst/>
                      </a:prstGeom>
                      <a:solidFill>
                        <a:srgbClr val="FFFFFF"/>
                      </a:solidFill>
                      <a:ln w="12700" cap="flat">
                        <a:noFill/>
                        <a:miter lim="400000"/>
                      </a:ln>
                      <a:effectLst/>
                    </wps:spPr>
                    <wps:txbx>
                      <w:txbxContent>
                        <w:p>
                          <w:pPr>
                            <w:pStyle w:val="Footer"/>
                            <w:bidi w:val="0"/>
                          </w:pPr>
                          <w:r>
                            <w:rPr>
                              <w:rStyle w:val="Page Number"/>
                              <w:sz w:val="18"/>
                              <w:szCs w:val="18"/>
                            </w:rPr>
                            <w:fldChar w:fldCharType="begin" w:fldLock="0"/>
                          </w:r>
                          <w:r>
                            <w:rPr>
                              <w:rStyle w:val="Page Number"/>
                              <w:sz w:val="18"/>
                              <w:szCs w:val="18"/>
                            </w:rPr>
                            <w:instrText xml:space="preserve"> PAGE </w:instrText>
                          </w:r>
                          <w:r>
                            <w:rPr>
                              <w:rStyle w:val="Page Number"/>
                              <w:sz w:val="18"/>
                              <w:szCs w:val="18"/>
                            </w:rPr>
                            <w:fldChar w:fldCharType="separate" w:fldLock="0"/>
                          </w:r>
                          <w:r>
                            <w:rPr>
                              <w:rStyle w:val="Page Number"/>
                              <w:sz w:val="18"/>
                              <w:szCs w:val="18"/>
                            </w:rPr>
                            <w:t>10</w:t>
                          </w:r>
                          <w:r>
                            <w:rPr>
                              <w:rStyle w:val="Page Number"/>
                              <w:sz w:val="18"/>
                              <w:szCs w:val="18"/>
                            </w:rPr>
                            <w:fldChar w:fldCharType="end" w:fldLock="0"/>
                          </w:r>
                        </w:p>
                      </w:txbxContent>
                    </wps:txbx>
                    <wps:bodyPr wrap="square" lIns="0" tIns="0" rIns="0" bIns="0" numCol="1" anchor="t">
                      <a:noAutofit/>
                    </wps:bodyPr>
                  </wps:wsp>
                </a:graphicData>
              </a:graphic>
            </wp:anchor>
          </w:drawing>
        </mc:Choice>
        <mc:Fallback>
          <w:pict>
            <v:rect id="_x0000_s1027" style="visibility:visible;position:absolute;margin-left:538.5pt;margin-top:795.5pt;width:5.5pt;height:10.0pt;z-index:-251658240;mso-position-horizontal:absolute;mso-position-horizontal-relative:page;mso-position-vertical:absolute;mso-position-vertical-relative:page;mso-wrap-distance-left:0.0pt;mso-wrap-distance-top:0.0pt;mso-wrap-distance-right:0.0pt;mso-wrap-distance-bottom:0.0pt;">
              <v:fill color="#FFFFFF" opacity="100.0%" type="solid"/>
              <v:stroke on="f" weight="1.0pt" dashstyle="solid" endcap="flat" miterlimit="400.0%" joinstyle="miter" linestyle="single" startarrow="none" startarrowwidth="medium" startarrowlength="medium" endarrow="none" endarrowwidth="medium" endarrowlength="medium"/>
              <v:textbox>
                <w:txbxContent>
                  <w:p>
                    <w:pPr>
                      <w:pStyle w:val="Footer"/>
                      <w:bidi w:val="0"/>
                    </w:pPr>
                    <w:r>
                      <w:rPr>
                        <w:rStyle w:val="Page Number"/>
                        <w:sz w:val="18"/>
                        <w:szCs w:val="18"/>
                      </w:rPr>
                      <w:fldChar w:fldCharType="begin" w:fldLock="0"/>
                    </w:r>
                    <w:r>
                      <w:rPr>
                        <w:rStyle w:val="Page Number"/>
                        <w:sz w:val="18"/>
                        <w:szCs w:val="18"/>
                      </w:rPr>
                      <w:instrText xml:space="preserve"> PAGE </w:instrText>
                    </w:r>
                    <w:r>
                      <w:rPr>
                        <w:rStyle w:val="Page Number"/>
                        <w:sz w:val="18"/>
                        <w:szCs w:val="18"/>
                      </w:rPr>
                      <w:fldChar w:fldCharType="separate" w:fldLock="0"/>
                    </w:r>
                    <w:r>
                      <w:rPr>
                        <w:rStyle w:val="Page Number"/>
                        <w:sz w:val="18"/>
                        <w:szCs w:val="18"/>
                      </w:rPr>
                      <w:t>10</w:t>
                    </w:r>
                    <w:r>
                      <w:rPr>
                        <w:rStyle w:val="Page Number"/>
                        <w:sz w:val="18"/>
                        <w:szCs w:val="18"/>
                      </w:rPr>
                      <w:fldChar w:fldCharType="end" w:fldLock="0"/>
                    </w:r>
                  </w:p>
                </w:txbxContent>
              </v:textbox>
              <w10:wrap type="none" side="bothSides" anchorx="page" anchory="page"/>
            </v:rect>
          </w:pict>
        </mc:Fallback>
      </mc:AlternateContent>
    </w:r>
    <w:r>
      <w:rPr>
        <w:sz w:val="22"/>
        <w:szCs w:val="22"/>
      </w:rPr>
      <w:drawing>
        <wp:inline distT="0" distB="0" distL="0" distR="0">
          <wp:extent cx="1833677" cy="428308"/>
          <wp:effectExtent l="0" t="0" r="0" b="0"/>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PAYYAP_header_logo.tiff"/>
                  <pic:cNvPicPr>
                    <a:picLocks noChangeAspect="0"/>
                  </pic:cNvPicPr>
                </pic:nvPicPr>
                <pic:blipFill>
                  <a:blip r:embed="rId1">
                    <a:extLst/>
                  </a:blip>
                  <a:stretch>
                    <a:fillRect/>
                  </a:stretch>
                </pic:blipFill>
                <pic:spPr>
                  <a:xfrm>
                    <a:off x="0" y="0"/>
                    <a:ext cx="1833677" cy="428308"/>
                  </a:xfrm>
                  <a:prstGeom prst="rect">
                    <a:avLst/>
                  </a:prstGeom>
                  <a:ln w="9525" cap="flat">
                    <a:noFill/>
                    <a:round/>
                  </a:ln>
                  <a:effectLst/>
                </pic:spPr>
              </pic:pic>
            </a:graphicData>
          </a:graphic>
        </wp:inline>
      </w:drawing>
    </w:r>
    <w:r>
      <w:rPr>
        <w:sz w:val="22"/>
        <w:szCs w:val="22"/>
        <w:rtl w:val="0"/>
      </w:rPr>
      <w:tab/>
      <w:tab/>
      <w:tab/>
      <w:tab/>
      <w:t xml:space="preserve">          </w:t>
    </w:r>
    <w:r>
      <w:rPr>
        <w:rFonts w:ascii="Lucida Grande" w:hAnsi="Lucida Grande"/>
        <w:b w:val="1"/>
        <w:bCs w:val="1"/>
        <w:sz w:val="24"/>
        <w:szCs w:val="24"/>
        <w:rtl w:val="0"/>
      </w:rPr>
      <w:t>Subscription Agreement</w: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decimal"/>
      <w:suff w:val="tab"/>
      <w:lvlText w:val="%1."/>
      <w:lvlJc w:val="left"/>
      <w:pPr>
        <w:tabs>
          <w:tab w:val="num" w:pos="663"/>
          <w:tab w:val="left" w:pos="964" w:leader="dot"/>
          <w:tab w:val="right" w:pos="9331" w:leader="dot"/>
          <w:tab w:val="clear" w:pos="9356"/>
        </w:tabs>
        <w:ind w:left="1627"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 w:ilvl="1">
      <w:start w:val="1"/>
      <w:numFmt w:val="decimal"/>
      <w:suff w:val="tab"/>
      <w:lvlText w:val="%1.%2."/>
      <w:lvlJc w:val="left"/>
      <w:pPr>
        <w:tabs>
          <w:tab w:val="num" w:pos="1721"/>
          <w:tab w:val="left" w:pos="1928"/>
          <w:tab w:val="right" w:pos="9331" w:leader="dot"/>
          <w:tab w:val="clear" w:pos="9356"/>
        </w:tabs>
        <w:ind w:left="2685"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Letter"/>
      <w:suff w:val="tab"/>
      <w:lvlText w:val="%1.%2.(%3)"/>
      <w:lvlJc w:val="left"/>
      <w:pPr>
        <w:tabs>
          <w:tab w:val="left" w:pos="1510"/>
          <w:tab w:val="left" w:pos="1928"/>
          <w:tab w:val="num" w:pos="2685"/>
          <w:tab w:val="right" w:pos="9331" w:leader="dot"/>
          <w:tab w:val="clear" w:pos="9356"/>
        </w:tabs>
        <w:ind w:left="3649"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lowerRoman"/>
      <w:suff w:val="nothing"/>
      <w:lvlText w:val="%1.%2.(%3)(%4)"/>
      <w:lvlJc w:val="left"/>
      <w:pPr>
        <w:tabs>
          <w:tab w:val="left" w:pos="1510"/>
          <w:tab w:val="left" w:pos="1928"/>
          <w:tab w:val="right" w:pos="9331" w:leader="dot"/>
          <w:tab w:val="clear" w:pos="9356"/>
        </w:tabs>
        <w:ind w:left="4613"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upperLetter"/>
      <w:suff w:val="nothing"/>
      <w:lvlText w:val="%1.%2.(%3)(%4)%5."/>
      <w:lvlJc w:val="left"/>
      <w:pPr>
        <w:tabs>
          <w:tab w:val="left" w:pos="1510"/>
          <w:tab w:val="left" w:pos="1928"/>
          <w:tab w:val="right" w:pos="9331" w:leader="dot"/>
          <w:tab w:val="clear" w:pos="9356"/>
        </w:tabs>
        <w:ind w:left="5577"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tabs>
          <w:tab w:val="left" w:pos="1510"/>
          <w:tab w:val="left" w:pos="1928"/>
          <w:tab w:val="right" w:pos="9331" w:leader="dot"/>
          <w:tab w:val="clear" w:pos="9356"/>
        </w:tabs>
        <w:ind w:left="6541"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lowerLetter"/>
      <w:suff w:val="nothing"/>
      <w:lvlText w:val="%1.%2.(%3)(%4)%5.%6)%7)"/>
      <w:lvlJc w:val="left"/>
      <w:pPr>
        <w:tabs>
          <w:tab w:val="left" w:pos="1510"/>
          <w:tab w:val="left" w:pos="1928"/>
          <w:tab w:val="right" w:pos="9331" w:leader="dot"/>
          <w:tab w:val="clear" w:pos="9356"/>
        </w:tabs>
        <w:ind w:left="7505"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Roman"/>
      <w:suff w:val="nothing"/>
      <w:lvlText w:val="%1.%2.(%3)(%4)%5.%6)%7)%8)"/>
      <w:lvlJc w:val="left"/>
      <w:pPr>
        <w:tabs>
          <w:tab w:val="left" w:pos="1510"/>
          <w:tab w:val="left" w:pos="1928"/>
          <w:tab w:val="right" w:pos="9331" w:leader="dot"/>
          <w:tab w:val="clear" w:pos="9356"/>
        </w:tabs>
        <w:ind w:left="8468"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tabs>
          <w:tab w:val="left" w:pos="1510"/>
          <w:tab w:val="left" w:pos="1928"/>
          <w:tab w:val="right" w:pos="9331" w:leader="dot"/>
          <w:tab w:val="clear" w:pos="9356"/>
        </w:tabs>
        <w:ind w:left="9295" w:hanging="1721"/>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
    <w:multiLevelType w:val="hybridMultilevel"/>
    <w:numStyleLink w:val="List 1"/>
  </w:abstractNum>
  <w:abstractNum w:abstractNumId="2">
    <w:multiLevelType w:val="hybridMultilevel"/>
    <w:styleLink w:val="List 1"/>
    <w:lvl w:ilvl="0">
      <w:start w:val="1"/>
      <w:numFmt w:val="decimal"/>
      <w:suff w:val="tab"/>
      <w:lvlText w:val="%1."/>
      <w:lvlJc w:val="left"/>
      <w:pPr>
        <w:ind w:left="844"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1">
      <w:start w:val="1"/>
      <w:numFmt w:val="decimal"/>
      <w:suff w:val="tab"/>
      <w:lvlText w:val="%1.%2."/>
      <w:lvlJc w:val="left"/>
      <w:pPr>
        <w:ind w:left="826" w:hanging="826"/>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Letter"/>
      <w:suff w:val="tab"/>
      <w:lvlText w:val="(%3)"/>
      <w:lvlJc w:val="left"/>
      <w:pPr>
        <w:ind w:left="1848"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3">
      <w:start w:val="1"/>
      <w:numFmt w:val="lowerRoman"/>
      <w:suff w:val="tab"/>
      <w:lvlText w:val="(%4)"/>
      <w:lvlJc w:val="left"/>
      <w:pPr>
        <w:ind w:left="2812"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4">
      <w:start w:val="1"/>
      <w:numFmt w:val="upperLetter"/>
      <w:suff w:val="tab"/>
      <w:lvlText w:val="%5."/>
      <w:lvlJc w:val="left"/>
      <w:pPr>
        <w:ind w:left="3776"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5">
      <w:start w:val="1"/>
      <w:numFmt w:val="decimal"/>
      <w:suff w:val="tab"/>
      <w:lvlText w:val="%6)"/>
      <w:lvlJc w:val="left"/>
      <w:pPr>
        <w:ind w:left="4740"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6">
      <w:start w:val="1"/>
      <w:numFmt w:val="lowerLetter"/>
      <w:suff w:val="tab"/>
      <w:lvlText w:val="%7)"/>
      <w:lvlJc w:val="left"/>
      <w:pPr>
        <w:ind w:left="5703" w:hanging="88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7">
      <w:start w:val="1"/>
      <w:numFmt w:val="lowerRoman"/>
      <w:suff w:val="tab"/>
      <w:lvlText w:val="%8)"/>
      <w:lvlJc w:val="left"/>
      <w:pPr>
        <w:ind w:left="6667"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8">
      <w:start w:val="1"/>
      <w:numFmt w:val="lowerRoman"/>
      <w:suff w:val="tab"/>
      <w:lvlText w:val="%9)"/>
      <w:lvlJc w:val="left"/>
      <w:pPr>
        <w:ind w:left="7493"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abstractNum>
  <w:abstractNum w:abstractNumId="3">
    <w:multiLevelType w:val="hybridMultilevel"/>
    <w:lvl w:ilvl="0">
      <w:start w:val="1"/>
      <w:numFmt w:val="bullet"/>
      <w:suff w:val="tab"/>
      <w:lvlText w:val="•"/>
      <w:lvlJc w:val="left"/>
      <w:pPr>
        <w:tabs>
          <w:tab w:val="left" w:pos="964"/>
          <w:tab w:val="left" w:pos="2892"/>
          <w:tab w:val="left" w:pos="3856"/>
          <w:tab w:val="left" w:pos="4820"/>
          <w:tab w:val="left" w:pos="5784"/>
          <w:tab w:val="left" w:pos="6748"/>
          <w:tab w:val="left" w:pos="7712"/>
          <w:tab w:val="left" w:pos="8676"/>
        </w:tabs>
        <w:ind w:left="2051"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964"/>
          <w:tab w:val="left" w:pos="2892"/>
          <w:tab w:val="left" w:pos="3856"/>
          <w:tab w:val="left" w:pos="4820"/>
          <w:tab w:val="left" w:pos="5784"/>
          <w:tab w:val="left" w:pos="6748"/>
          <w:tab w:val="left" w:pos="7712"/>
          <w:tab w:val="left" w:pos="8676"/>
        </w:tabs>
        <w:ind w:left="220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964"/>
          <w:tab w:val="left" w:pos="1928"/>
          <w:tab w:val="left" w:pos="3856"/>
          <w:tab w:val="left" w:pos="4820"/>
          <w:tab w:val="left" w:pos="5784"/>
          <w:tab w:val="left" w:pos="6748"/>
          <w:tab w:val="left" w:pos="7712"/>
          <w:tab w:val="left" w:pos="8676"/>
        </w:tabs>
        <w:ind w:left="292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964"/>
          <w:tab w:val="left" w:pos="1928"/>
          <w:tab w:val="left" w:pos="2892"/>
          <w:tab w:val="left" w:pos="3856"/>
          <w:tab w:val="left" w:pos="4820"/>
          <w:tab w:val="left" w:pos="5784"/>
          <w:tab w:val="left" w:pos="6748"/>
          <w:tab w:val="left" w:pos="7712"/>
          <w:tab w:val="left" w:pos="8676"/>
        </w:tabs>
        <w:ind w:left="364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964"/>
          <w:tab w:val="left" w:pos="1928"/>
          <w:tab w:val="left" w:pos="2892"/>
          <w:tab w:val="left" w:pos="3856"/>
          <w:tab w:val="left" w:pos="4820"/>
          <w:tab w:val="left" w:pos="5784"/>
          <w:tab w:val="left" w:pos="6748"/>
          <w:tab w:val="left" w:pos="7712"/>
          <w:tab w:val="left" w:pos="8676"/>
        </w:tabs>
        <w:ind w:left="436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964"/>
          <w:tab w:val="left" w:pos="1928"/>
          <w:tab w:val="left" w:pos="2892"/>
          <w:tab w:val="left" w:pos="3856"/>
          <w:tab w:val="left" w:pos="5784"/>
          <w:tab w:val="left" w:pos="6748"/>
          <w:tab w:val="left" w:pos="7712"/>
          <w:tab w:val="left" w:pos="8676"/>
        </w:tabs>
        <w:ind w:left="508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964"/>
          <w:tab w:val="left" w:pos="1928"/>
          <w:tab w:val="left" w:pos="2892"/>
          <w:tab w:val="left" w:pos="3856"/>
          <w:tab w:val="left" w:pos="4820"/>
          <w:tab w:val="left" w:pos="6748"/>
          <w:tab w:val="left" w:pos="7712"/>
          <w:tab w:val="left" w:pos="8676"/>
        </w:tabs>
        <w:ind w:left="580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964"/>
          <w:tab w:val="left" w:pos="1928"/>
          <w:tab w:val="left" w:pos="2892"/>
          <w:tab w:val="left" w:pos="3856"/>
          <w:tab w:val="left" w:pos="4820"/>
          <w:tab w:val="left" w:pos="5784"/>
          <w:tab w:val="left" w:pos="6748"/>
          <w:tab w:val="left" w:pos="7712"/>
          <w:tab w:val="left" w:pos="8676"/>
        </w:tabs>
        <w:ind w:left="652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964"/>
          <w:tab w:val="left" w:pos="1928"/>
          <w:tab w:val="left" w:pos="2892"/>
          <w:tab w:val="left" w:pos="3856"/>
          <w:tab w:val="left" w:pos="4820"/>
          <w:tab w:val="left" w:pos="5784"/>
          <w:tab w:val="left" w:pos="6748"/>
          <w:tab w:val="left" w:pos="7712"/>
          <w:tab w:val="left" w:pos="8676"/>
        </w:tabs>
        <w:ind w:left="7244" w:hanging="52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List 3"/>
  </w:abstractNum>
  <w:abstractNum w:abstractNumId="5">
    <w:multiLevelType w:val="hybridMultilevel"/>
    <w:styleLink w:val="List 3"/>
    <w:lvl w:ilvl="0">
      <w:start w:val="1"/>
      <w:numFmt w:val="decimal"/>
      <w:suff w:val="tab"/>
      <w:lvlText w:val="%1."/>
      <w:lvlJc w:val="left"/>
      <w:pPr>
        <w:ind w:left="1060" w:hanging="1060"/>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start w:val="1"/>
      <w:numFmt w:val="decimal"/>
      <w:suff w:val="tab"/>
      <w:lvlText w:val="%1.%2."/>
      <w:lvlJc w:val="left"/>
      <w:pPr>
        <w:ind w:left="1060" w:hanging="1060"/>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start w:val="1"/>
      <w:numFmt w:val="lowerLetter"/>
      <w:suff w:val="tab"/>
      <w:lvlText w:val="(%3)"/>
      <w:lvlJc w:val="left"/>
      <w:pPr>
        <w:ind w:left="1848" w:hanging="884"/>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3">
      <w:start w:val="1"/>
      <w:numFmt w:val="lowerRoman"/>
      <w:suff w:val="tab"/>
      <w:lvlText w:val="(%4)"/>
      <w:lvlJc w:val="left"/>
      <w:pPr>
        <w:ind w:left="2811" w:hanging="883"/>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4">
      <w:start w:val="1"/>
      <w:numFmt w:val="upperLetter"/>
      <w:suff w:val="tab"/>
      <w:lvlText w:val="%5."/>
      <w:lvlJc w:val="left"/>
      <w:pPr>
        <w:ind w:left="3775" w:hanging="884"/>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5">
      <w:start w:val="1"/>
      <w:numFmt w:val="decimal"/>
      <w:suff w:val="tab"/>
      <w:lvlText w:val="%6)"/>
      <w:lvlJc w:val="left"/>
      <w:pPr>
        <w:ind w:left="4739" w:hanging="884"/>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6">
      <w:start w:val="1"/>
      <w:numFmt w:val="lowerLetter"/>
      <w:suff w:val="tab"/>
      <w:lvlText w:val="%7)"/>
      <w:lvlJc w:val="left"/>
      <w:pPr>
        <w:ind w:left="5703" w:hanging="884"/>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7">
      <w:start w:val="1"/>
      <w:numFmt w:val="lowerRoman"/>
      <w:suff w:val="tab"/>
      <w:lvlText w:val="%8)"/>
      <w:lvlJc w:val="left"/>
      <w:pPr>
        <w:ind w:left="6666" w:hanging="883"/>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8">
      <w:start w:val="1"/>
      <w:numFmt w:val="lowerRoman"/>
      <w:suff w:val="tab"/>
      <w:lvlText w:val="%9)"/>
      <w:lvlJc w:val="left"/>
      <w:pPr>
        <w:ind w:left="7492" w:hanging="883"/>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abstractNum>
  <w:num w:numId="1">
    <w:abstractNumId w:val="0"/>
  </w:num>
  <w:num w:numId="2">
    <w:abstractNumId w:val="0"/>
    <w:lvlOverride w:ilvl="0">
      <w:lvl w:ilvl="0">
        <w:start w:val="1"/>
        <w:numFmt w:val="decimal"/>
        <w:suff w:val="nothing"/>
        <w:lvlText w:val="%1."/>
        <w:lvlJc w:val="left"/>
        <w:pPr>
          <w:tabs>
            <w:tab w:val="left" w:pos="546"/>
            <w:tab w:val="left" w:pos="964" w:leader="dot"/>
            <w:tab w:val="right" w:pos="9331" w:leader="dot"/>
            <w:tab w:val="clear" w:pos="9356"/>
          </w:tabs>
          <w:ind w:left="964" w:hanging="96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1">
      <w:lvl w:ilvl="1">
        <w:start w:val="1"/>
        <w:numFmt w:val="decimal"/>
        <w:suff w:val="tab"/>
        <w:lvlText w:val="%1.%2."/>
        <w:lvlJc w:val="left"/>
        <w:pPr>
          <w:tabs>
            <w:tab w:val="num" w:pos="663"/>
            <w:tab w:val="left" w:pos="964" w:leader="dot"/>
            <w:tab w:val="right" w:pos="9331" w:leader="dot"/>
            <w:tab w:val="clear" w:pos="9356"/>
          </w:tabs>
          <w:ind w:left="1627"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2">
      <w:lvl w:ilvl="2">
        <w:start w:val="1"/>
        <w:numFmt w:val="lowerLetter"/>
        <w:suff w:val="tab"/>
        <w:lvlText w:val="%1.%2.(%3)"/>
        <w:lvlJc w:val="left"/>
        <w:pPr>
          <w:tabs>
            <w:tab w:val="left" w:pos="546"/>
            <w:tab w:val="left" w:pos="964" w:leader="dot"/>
            <w:tab w:val="num" w:pos="1627"/>
            <w:tab w:val="right" w:pos="9331" w:leader="dot"/>
            <w:tab w:val="clear" w:pos="9356"/>
          </w:tabs>
          <w:ind w:left="2591"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3">
      <w:lvl w:ilvl="3">
        <w:start w:val="1"/>
        <w:numFmt w:val="lowerRoman"/>
        <w:suff w:val="nothing"/>
        <w:lvlText w:val="%1.%2.(%3)(%4)"/>
        <w:lvlJc w:val="left"/>
        <w:pPr>
          <w:tabs>
            <w:tab w:val="left" w:pos="546"/>
            <w:tab w:val="left" w:pos="964" w:leader="dot"/>
            <w:tab w:val="right" w:pos="9331" w:leader="dot"/>
            <w:tab w:val="clear" w:pos="9356"/>
          </w:tabs>
          <w:ind w:left="3555"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4">
      <w:lvl w:ilvl="4">
        <w:start w:val="1"/>
        <w:numFmt w:val="upperLetter"/>
        <w:suff w:val="nothing"/>
        <w:lvlText w:val="%1.%2.(%3)(%4)%5."/>
        <w:lvlJc w:val="left"/>
        <w:pPr>
          <w:tabs>
            <w:tab w:val="left" w:pos="546"/>
            <w:tab w:val="left" w:pos="964" w:leader="dot"/>
            <w:tab w:val="right" w:pos="9331" w:leader="dot"/>
            <w:tab w:val="clear" w:pos="9356"/>
          </w:tabs>
          <w:ind w:left="4519"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5">
      <w:lvl w:ilvl="5">
        <w:start w:val="1"/>
        <w:numFmt w:val="decimal"/>
        <w:suff w:val="nothing"/>
        <w:lvlText w:val="%1.%2.(%3)(%4)%5.%6)"/>
        <w:lvlJc w:val="left"/>
        <w:pPr>
          <w:tabs>
            <w:tab w:val="left" w:pos="546"/>
            <w:tab w:val="left" w:pos="964" w:leader="dot"/>
            <w:tab w:val="right" w:pos="9331" w:leader="dot"/>
            <w:tab w:val="clear" w:pos="9356"/>
          </w:tabs>
          <w:ind w:left="5483"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6">
      <w:lvl w:ilvl="6">
        <w:start w:val="1"/>
        <w:numFmt w:val="lowerLetter"/>
        <w:suff w:val="nothing"/>
        <w:lvlText w:val="%1.%2.(%3)(%4)%5.%6)%7)"/>
        <w:lvlJc w:val="left"/>
        <w:pPr>
          <w:tabs>
            <w:tab w:val="left" w:pos="546"/>
            <w:tab w:val="left" w:pos="964" w:leader="dot"/>
            <w:tab w:val="right" w:pos="9331" w:leader="dot"/>
            <w:tab w:val="clear" w:pos="9356"/>
          </w:tabs>
          <w:ind w:left="6446" w:hanging="1626"/>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7">
      <w:lvl w:ilvl="7">
        <w:start w:val="1"/>
        <w:numFmt w:val="lowerRoman"/>
        <w:suff w:val="nothing"/>
        <w:lvlText w:val="%1.%2.(%3)(%4)%5.%6)%7)%8)"/>
        <w:lvlJc w:val="left"/>
        <w:pPr>
          <w:tabs>
            <w:tab w:val="left" w:pos="546"/>
            <w:tab w:val="left" w:pos="964" w:leader="dot"/>
            <w:tab w:val="right" w:pos="9331" w:leader="dot"/>
            <w:tab w:val="clear" w:pos="9356"/>
          </w:tabs>
          <w:ind w:left="7410"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lvlOverride w:ilvl="8">
      <w:lvl w:ilvl="8">
        <w:start w:val="1"/>
        <w:numFmt w:val="lowerRoman"/>
        <w:suff w:val="nothing"/>
        <w:lvlText w:val="%1.%2.(%3)(%4)%5.%6)%7)%8)%9)"/>
        <w:lvlJc w:val="left"/>
        <w:pPr>
          <w:tabs>
            <w:tab w:val="left" w:pos="546"/>
            <w:tab w:val="left" w:pos="964" w:leader="dot"/>
            <w:tab w:val="right" w:pos="9331" w:leader="dot"/>
            <w:tab w:val="clear" w:pos="9356"/>
          </w:tabs>
          <w:ind w:left="8236" w:hanging="1627"/>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19"/>
          <w:szCs w:val="19"/>
          <w:highlight w:val="none"/>
          <w:vertAlign w:val="baseline"/>
        </w:rPr>
      </w:lvl>
    </w:lvlOverride>
  </w:num>
  <w:num w:numId="3">
    <w:abstractNumId w:val="2"/>
  </w:num>
  <w:num w:numId="4">
    <w:abstractNumId w:val="1"/>
  </w:num>
  <w:num w:numId="5">
    <w:abstractNumId w:val="3"/>
  </w:num>
  <w:num w:numId="6">
    <w:abstractNumId w:val="1"/>
    <w:lvlOverride w:ilvl="0">
      <w:lvl w:ilvl="0">
        <w:start w:val="1"/>
        <w:numFmt w:val="decimal"/>
        <w:suff w:val="tab"/>
        <w:lvlText w:val="%1."/>
        <w:lvlJc w:val="left"/>
        <w:pPr>
          <w:ind w:left="844"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1">
      <w:lvl w:ilvl="1">
        <w:start w:val="1"/>
        <w:numFmt w:val="decimal"/>
        <w:suff w:val="tab"/>
        <w:lvlText w:val="%1.%2."/>
        <w:lvlJc w:val="left"/>
        <w:pPr>
          <w:tabs>
            <w:tab w:val="num" w:pos="826"/>
            <w:tab w:val="left" w:pos="964"/>
            <w:tab w:val="left" w:pos="1928"/>
            <w:tab w:val="left" w:pos="2892"/>
            <w:tab w:val="left" w:pos="3856"/>
            <w:tab w:val="left" w:pos="4820"/>
            <w:tab w:val="left" w:pos="5784"/>
            <w:tab w:val="left" w:pos="6748"/>
            <w:tab w:val="left" w:pos="7712"/>
            <w:tab w:val="left" w:pos="8676"/>
          </w:tabs>
          <w:ind w:left="1790" w:hanging="1790"/>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Letter"/>
        <w:suff w:val="tab"/>
        <w:lvlText w:val="(%3)"/>
        <w:lvlJc w:val="left"/>
        <w:pPr>
          <w:ind w:left="1848"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3">
      <w:lvl w:ilvl="3">
        <w:start w:val="1"/>
        <w:numFmt w:val="lowerRoman"/>
        <w:suff w:val="tab"/>
        <w:lvlText w:val="(%4)"/>
        <w:lvlJc w:val="left"/>
        <w:pPr>
          <w:ind w:left="2812"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4">
      <w:lvl w:ilvl="4">
        <w:start w:val="1"/>
        <w:numFmt w:val="upperLetter"/>
        <w:suff w:val="tab"/>
        <w:lvlText w:val="%5."/>
        <w:lvlJc w:val="left"/>
        <w:pPr>
          <w:ind w:left="3776"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5">
      <w:lvl w:ilvl="5">
        <w:start w:val="1"/>
        <w:numFmt w:val="decimal"/>
        <w:suff w:val="tab"/>
        <w:lvlText w:val="%6)"/>
        <w:lvlJc w:val="left"/>
        <w:pPr>
          <w:ind w:left="4740"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6">
      <w:lvl w:ilvl="6">
        <w:start w:val="1"/>
        <w:numFmt w:val="lowerLetter"/>
        <w:suff w:val="tab"/>
        <w:lvlText w:val="%7)"/>
        <w:lvlJc w:val="left"/>
        <w:pPr>
          <w:ind w:left="5703" w:hanging="88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7">
      <w:lvl w:ilvl="7">
        <w:start w:val="1"/>
        <w:numFmt w:val="lowerRoman"/>
        <w:suff w:val="tab"/>
        <w:lvlText w:val="%8)"/>
        <w:lvlJc w:val="left"/>
        <w:pPr>
          <w:ind w:left="6667"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8">
      <w:lvl w:ilvl="8">
        <w:start w:val="1"/>
        <w:numFmt w:val="lowerRoman"/>
        <w:suff w:val="tab"/>
        <w:lvlText w:val="%9)"/>
        <w:lvlJc w:val="left"/>
        <w:pPr>
          <w:ind w:left="7493"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num>
  <w:num w:numId="7">
    <w:abstractNumId w:val="1"/>
    <w:lvlOverride w:ilvl="0">
      <w:lvl w:ilvl="0">
        <w:start w:val="1"/>
        <w:numFmt w:val="decimal"/>
        <w:suff w:val="tab"/>
        <w:lvlText w:val="%1."/>
        <w:lvlJc w:val="left"/>
        <w:pPr>
          <w:ind w:left="844"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1">
      <w:lvl w:ilvl="1">
        <w:start w:val="1"/>
        <w:numFmt w:val="decimal"/>
        <w:suff w:val="tab"/>
        <w:lvlText w:val="%1.%2."/>
        <w:lvlJc w:val="left"/>
        <w:pPr>
          <w:tabs>
            <w:tab w:val="num" w:pos="826"/>
          </w:tabs>
          <w:ind w:left="1790" w:hanging="1790"/>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Letter"/>
        <w:suff w:val="tab"/>
        <w:lvlText w:val="(%3)"/>
        <w:lvlJc w:val="left"/>
        <w:pPr>
          <w:tabs>
            <w:tab w:val="left" w:pos="964"/>
            <w:tab w:val="left" w:pos="1928"/>
            <w:tab w:val="left" w:pos="2892"/>
            <w:tab w:val="left" w:pos="3856"/>
            <w:tab w:val="left" w:pos="4820"/>
            <w:tab w:val="left" w:pos="5784"/>
            <w:tab w:val="left" w:pos="6748"/>
            <w:tab w:val="left" w:pos="7712"/>
            <w:tab w:val="left" w:pos="8676"/>
          </w:tabs>
          <w:ind w:left="1848" w:hanging="884"/>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Roman"/>
        <w:suff w:val="tab"/>
        <w:lvlText w:val="(%4)"/>
        <w:lvlJc w:val="left"/>
        <w:pPr>
          <w:tabs>
            <w:tab w:val="left" w:pos="964"/>
            <w:tab w:val="left" w:pos="1928"/>
            <w:tab w:val="left" w:pos="2892"/>
            <w:tab w:val="left" w:pos="3856"/>
            <w:tab w:val="left" w:pos="4820"/>
            <w:tab w:val="left" w:pos="5784"/>
            <w:tab w:val="left" w:pos="6748"/>
            <w:tab w:val="left" w:pos="7712"/>
            <w:tab w:val="left" w:pos="8676"/>
          </w:tabs>
          <w:ind w:left="2812" w:hanging="884"/>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upperLetter"/>
        <w:suff w:val="tab"/>
        <w:lvlText w:val="%5."/>
        <w:lvlJc w:val="left"/>
        <w:pPr>
          <w:tabs>
            <w:tab w:val="left" w:pos="964"/>
            <w:tab w:val="left" w:pos="1928"/>
            <w:tab w:val="left" w:pos="2892"/>
            <w:tab w:val="left" w:pos="3856"/>
            <w:tab w:val="left" w:pos="4820"/>
            <w:tab w:val="left" w:pos="5784"/>
            <w:tab w:val="left" w:pos="6748"/>
            <w:tab w:val="left" w:pos="7712"/>
            <w:tab w:val="left" w:pos="8676"/>
          </w:tabs>
          <w:ind w:left="3776" w:hanging="884"/>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tab"/>
        <w:lvlText w:val="%6)"/>
        <w:lvlJc w:val="left"/>
        <w:pPr>
          <w:tabs>
            <w:tab w:val="left" w:pos="964"/>
            <w:tab w:val="left" w:pos="1928"/>
            <w:tab w:val="left" w:pos="2892"/>
            <w:tab w:val="left" w:pos="3856"/>
            <w:tab w:val="left" w:pos="4820"/>
            <w:tab w:val="left" w:pos="5784"/>
            <w:tab w:val="left" w:pos="6748"/>
            <w:tab w:val="left" w:pos="7712"/>
            <w:tab w:val="left" w:pos="8676"/>
          </w:tabs>
          <w:ind w:left="4740" w:hanging="884"/>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suff w:val="tab"/>
        <w:lvlText w:val="%7)"/>
        <w:lvlJc w:val="left"/>
        <w:pPr>
          <w:tabs>
            <w:tab w:val="left" w:pos="964"/>
            <w:tab w:val="left" w:pos="1928"/>
            <w:tab w:val="left" w:pos="2892"/>
            <w:tab w:val="left" w:pos="3856"/>
            <w:tab w:val="left" w:pos="4820"/>
            <w:tab w:val="left" w:pos="5784"/>
            <w:tab w:val="left" w:pos="6748"/>
            <w:tab w:val="left" w:pos="7712"/>
            <w:tab w:val="left" w:pos="8676"/>
          </w:tabs>
          <w:ind w:left="5703" w:hanging="883"/>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Roman"/>
        <w:suff w:val="tab"/>
        <w:lvlText w:val="%8)"/>
        <w:lvlJc w:val="left"/>
        <w:pPr>
          <w:tabs>
            <w:tab w:val="left" w:pos="964"/>
            <w:tab w:val="left" w:pos="1928"/>
            <w:tab w:val="left" w:pos="2892"/>
            <w:tab w:val="left" w:pos="3856"/>
            <w:tab w:val="left" w:pos="4820"/>
            <w:tab w:val="left" w:pos="5784"/>
            <w:tab w:val="left" w:pos="6748"/>
            <w:tab w:val="left" w:pos="7712"/>
            <w:tab w:val="left" w:pos="8676"/>
          </w:tabs>
          <w:ind w:left="6667" w:hanging="884"/>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tab"/>
        <w:lvlText w:val="%9)"/>
        <w:lvlJc w:val="left"/>
        <w:pPr>
          <w:tabs>
            <w:tab w:val="left" w:pos="964"/>
            <w:tab w:val="left" w:pos="1928"/>
            <w:tab w:val="left" w:pos="2892"/>
            <w:tab w:val="left" w:pos="3856"/>
            <w:tab w:val="left" w:pos="4820"/>
            <w:tab w:val="left" w:pos="5784"/>
            <w:tab w:val="left" w:pos="6748"/>
            <w:tab w:val="left" w:pos="7712"/>
            <w:tab w:val="left" w:pos="8676"/>
          </w:tabs>
          <w:ind w:left="7493" w:hanging="884"/>
        </w:pPr>
        <w:rPr>
          <w:rFonts w:ascii="Helvetica Neue" w:cs="Helvetica Neue" w:hAnsi="Helvetica Neue" w:eastAsia="Helvetica Neue"/>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8">
    <w:abstractNumId w:val="5"/>
  </w:num>
  <w:num w:numId="9">
    <w:abstractNumId w:val="4"/>
  </w:num>
  <w:num w:numId="10">
    <w:abstractNumId w:val="1"/>
    <w:lvlOverride w:ilvl="0">
      <w:lvl w:ilvl="0">
        <w:start w:val="1"/>
        <w:numFmt w:val="decimal"/>
        <w:suff w:val="nothing"/>
        <w:lvlText w:val="%1."/>
        <w:lvlJc w:val="left"/>
        <w:pPr>
          <w:tabs>
            <w:tab w:val="left" w:pos="964"/>
            <w:tab w:val="left" w:pos="1928"/>
            <w:tab w:val="left" w:pos="2892"/>
            <w:tab w:val="left" w:pos="3856"/>
            <w:tab w:val="left" w:pos="4820"/>
            <w:tab w:val="left" w:pos="5784"/>
            <w:tab w:val="left" w:pos="6748"/>
            <w:tab w:val="left" w:pos="7712"/>
            <w:tab w:val="left" w:pos="8676"/>
          </w:tabs>
          <w:ind w:left="0" w:firstLine="0"/>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1">
      <w:lvl w:ilvl="1">
        <w:start w:val="1"/>
        <w:numFmt w:val="decimal"/>
        <w:suff w:val="tab"/>
        <w:lvlText w:val="%1.%2."/>
        <w:lvlJc w:val="left"/>
        <w:pPr>
          <w:tabs>
            <w:tab w:val="left" w:pos="964"/>
            <w:tab w:val="left" w:pos="1928"/>
            <w:tab w:val="left" w:pos="2892"/>
            <w:tab w:val="left" w:pos="3856"/>
            <w:tab w:val="left" w:pos="4820"/>
            <w:tab w:val="left" w:pos="5784"/>
            <w:tab w:val="left" w:pos="6748"/>
            <w:tab w:val="left" w:pos="7712"/>
            <w:tab w:val="left" w:pos="8676"/>
          </w:tabs>
          <w:ind w:left="844"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2">
      <w:lvl w:ilvl="2">
        <w:start w:val="1"/>
        <w:numFmt w:val="lowerLetter"/>
        <w:suff w:val="tab"/>
        <w:lvlText w:val="%1.%2.(%3)"/>
        <w:lvlJc w:val="left"/>
        <w:pPr>
          <w:tabs>
            <w:tab w:val="left" w:pos="964"/>
            <w:tab w:val="left" w:pos="1928"/>
            <w:tab w:val="left" w:pos="2892"/>
            <w:tab w:val="left" w:pos="3856"/>
            <w:tab w:val="left" w:pos="4820"/>
            <w:tab w:val="left" w:pos="5784"/>
            <w:tab w:val="left" w:pos="6748"/>
            <w:tab w:val="left" w:pos="7712"/>
            <w:tab w:val="left" w:pos="8676"/>
          </w:tabs>
          <w:ind w:left="1808"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3">
      <w:lvl w:ilvl="3">
        <w:start w:val="1"/>
        <w:numFmt w:val="lowerRoman"/>
        <w:suff w:val="nothing"/>
        <w:lvlText w:val="%1.%2.(%3)(%4)"/>
        <w:lvlJc w:val="left"/>
        <w:pPr>
          <w:tabs>
            <w:tab w:val="left" w:pos="964"/>
            <w:tab w:val="left" w:pos="1928"/>
            <w:tab w:val="left" w:pos="2892"/>
            <w:tab w:val="left" w:pos="3856"/>
            <w:tab w:val="left" w:pos="4820"/>
            <w:tab w:val="left" w:pos="5784"/>
            <w:tab w:val="left" w:pos="6748"/>
            <w:tab w:val="left" w:pos="7712"/>
            <w:tab w:val="left" w:pos="8676"/>
          </w:tabs>
          <w:ind w:left="2772" w:hanging="84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4">
      <w:lvl w:ilvl="4">
        <w:start w:val="1"/>
        <w:numFmt w:val="upperLetter"/>
        <w:suff w:val="nothing"/>
        <w:lvlText w:val="%1.%2.(%3)(%4)%5."/>
        <w:lvlJc w:val="left"/>
        <w:pPr>
          <w:tabs>
            <w:tab w:val="left" w:pos="964"/>
            <w:tab w:val="left" w:pos="1928"/>
            <w:tab w:val="left" w:pos="2892"/>
            <w:tab w:val="left" w:pos="3856"/>
            <w:tab w:val="left" w:pos="4820"/>
            <w:tab w:val="left" w:pos="5784"/>
            <w:tab w:val="left" w:pos="6748"/>
            <w:tab w:val="left" w:pos="7712"/>
            <w:tab w:val="left" w:pos="8676"/>
          </w:tabs>
          <w:ind w:left="3736"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5">
      <w:lvl w:ilvl="5">
        <w:start w:val="1"/>
        <w:numFmt w:val="decimal"/>
        <w:suff w:val="nothing"/>
        <w:lvlText w:val="%1.%2.(%3)(%4)%5.%6)"/>
        <w:lvlJc w:val="left"/>
        <w:pPr>
          <w:tabs>
            <w:tab w:val="left" w:pos="964"/>
            <w:tab w:val="left" w:pos="1928"/>
            <w:tab w:val="left" w:pos="2892"/>
            <w:tab w:val="left" w:pos="3856"/>
            <w:tab w:val="left" w:pos="4820"/>
            <w:tab w:val="left" w:pos="5784"/>
            <w:tab w:val="left" w:pos="6748"/>
            <w:tab w:val="left" w:pos="7712"/>
            <w:tab w:val="left" w:pos="8676"/>
          </w:tabs>
          <w:ind w:left="4700"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6">
      <w:lvl w:ilvl="6">
        <w:start w:val="1"/>
        <w:numFmt w:val="lowerLetter"/>
        <w:suff w:val="nothing"/>
        <w:lvlText w:val="%1.%2.(%3)(%4)%5.%6)%7)"/>
        <w:lvlJc w:val="left"/>
        <w:pPr>
          <w:tabs>
            <w:tab w:val="left" w:pos="964"/>
            <w:tab w:val="left" w:pos="1928"/>
            <w:tab w:val="left" w:pos="2892"/>
            <w:tab w:val="left" w:pos="3856"/>
            <w:tab w:val="left" w:pos="4820"/>
            <w:tab w:val="left" w:pos="5784"/>
            <w:tab w:val="left" w:pos="6748"/>
            <w:tab w:val="left" w:pos="7712"/>
            <w:tab w:val="left" w:pos="8676"/>
          </w:tabs>
          <w:ind w:left="5663" w:hanging="84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7">
      <w:lvl w:ilvl="7">
        <w:start w:val="1"/>
        <w:numFmt w:val="lowerRoman"/>
        <w:suff w:val="nothing"/>
        <w:lvlText w:val="%1.%2.(%3)(%4)%5.%6)%7)%8)"/>
        <w:lvlJc w:val="left"/>
        <w:pPr>
          <w:tabs>
            <w:tab w:val="left" w:pos="964"/>
            <w:tab w:val="left" w:pos="1928"/>
            <w:tab w:val="left" w:pos="2892"/>
            <w:tab w:val="left" w:pos="3856"/>
            <w:tab w:val="left" w:pos="4820"/>
            <w:tab w:val="left" w:pos="5784"/>
            <w:tab w:val="left" w:pos="6748"/>
            <w:tab w:val="left" w:pos="7712"/>
            <w:tab w:val="left" w:pos="8676"/>
          </w:tabs>
          <w:ind w:left="6626" w:hanging="84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8">
      <w:lvl w:ilvl="8">
        <w:start w:val="1"/>
        <w:numFmt w:val="lowerRoman"/>
        <w:suff w:val="nothing"/>
        <w:lvlText w:val="%1.%2.(%3)(%4)%5.%6)%7)%8)%9)"/>
        <w:lvlJc w:val="left"/>
        <w:pPr>
          <w:tabs>
            <w:tab w:val="left" w:pos="964"/>
            <w:tab w:val="left" w:pos="1928"/>
            <w:tab w:val="left" w:pos="2892"/>
            <w:tab w:val="left" w:pos="3856"/>
            <w:tab w:val="left" w:pos="4820"/>
            <w:tab w:val="left" w:pos="5784"/>
            <w:tab w:val="left" w:pos="6748"/>
            <w:tab w:val="left" w:pos="7712"/>
            <w:tab w:val="left" w:pos="8676"/>
          </w:tabs>
          <w:ind w:left="7453" w:hanging="84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num>
  <w:num w:numId="11">
    <w:abstractNumId w:val="1"/>
    <w:lvlOverride w:ilvl="0">
      <w:lvl w:ilvl="0">
        <w:start w:val="1"/>
        <w:numFmt w:val="decimal"/>
        <w:suff w:val="tab"/>
        <w:lvlText w:val="%1."/>
        <w:lvlJc w:val="left"/>
        <w:pPr>
          <w:ind w:left="844"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1">
      <w:lvl w:ilvl="1">
        <w:start w:val="1"/>
        <w:numFmt w:val="decimal"/>
        <w:suff w:val="tab"/>
        <w:lvlText w:val="%1.%2."/>
        <w:lvlJc w:val="left"/>
        <w:pPr>
          <w:ind w:left="844" w:hanging="84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2">
      <w:lvl w:ilvl="2">
        <w:start w:val="1"/>
        <w:numFmt w:val="lowerLetter"/>
        <w:suff w:val="tab"/>
        <w:lvlText w:val="(%3)"/>
        <w:lvlJc w:val="left"/>
        <w:pPr>
          <w:ind w:left="1848"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3">
      <w:lvl w:ilvl="3">
        <w:start w:val="1"/>
        <w:numFmt w:val="lowerRoman"/>
        <w:suff w:val="tab"/>
        <w:lvlText w:val="(%4)"/>
        <w:lvlJc w:val="left"/>
        <w:pPr>
          <w:ind w:left="2812"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4">
      <w:lvl w:ilvl="4">
        <w:start w:val="1"/>
        <w:numFmt w:val="upperLetter"/>
        <w:suff w:val="tab"/>
        <w:lvlText w:val="%5."/>
        <w:lvlJc w:val="left"/>
        <w:pPr>
          <w:ind w:left="3776"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5">
      <w:lvl w:ilvl="5">
        <w:start w:val="1"/>
        <w:numFmt w:val="decimal"/>
        <w:suff w:val="tab"/>
        <w:lvlText w:val="%6)"/>
        <w:lvlJc w:val="left"/>
        <w:pPr>
          <w:ind w:left="4740"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6">
      <w:lvl w:ilvl="6">
        <w:start w:val="1"/>
        <w:numFmt w:val="lowerLetter"/>
        <w:suff w:val="tab"/>
        <w:lvlText w:val="%7)"/>
        <w:lvlJc w:val="left"/>
        <w:pPr>
          <w:ind w:left="5703" w:hanging="883"/>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7">
      <w:lvl w:ilvl="7">
        <w:start w:val="1"/>
        <w:numFmt w:val="lowerRoman"/>
        <w:suff w:val="tab"/>
        <w:lvlText w:val="%8)"/>
        <w:lvlJc w:val="left"/>
        <w:pPr>
          <w:ind w:left="6667"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lvlOverride w:ilvl="8">
      <w:lvl w:ilvl="8">
        <w:start w:val="1"/>
        <w:numFmt w:val="lowerRoman"/>
        <w:suff w:val="tab"/>
        <w:lvlText w:val="%9)"/>
        <w:lvlJc w:val="left"/>
        <w:pPr>
          <w:ind w:left="7493" w:hanging="884"/>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0"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ormal.0">
    <w:name w:val="Normal"/>
    <w:next w:val="Normal.0"/>
    <w:pPr>
      <w:keepNext w:val="0"/>
      <w:keepLines w:val="0"/>
      <w:pageBreakBefore w:val="0"/>
      <w:widowControl w:val="0"/>
      <w:shd w:val="clear" w:color="auto" w:fill="auto"/>
      <w:suppressAutoHyphens w:val="0"/>
      <w:bidi w:val="0"/>
      <w:spacing w:before="0" w:after="22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Free Form">
    <w:name w:val="Free Form"/>
    <w:next w:val="Free Form"/>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vertAlign w:val="baseline"/>
    </w:rPr>
  </w:style>
  <w:style w:type="paragraph" w:styleId="Minor_Title_Arial">
    <w:name w:val="Minor_Title_Ari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18"/>
      <w:szCs w:val="18"/>
      <w:u w:val="none"/>
      <w:vertAlign w:val="baseline"/>
      <w:lang w:val="en-US"/>
    </w:rPr>
  </w:style>
  <w:style w:type="paragraph" w:styleId="Mini_Title_Arial">
    <w:name w:val="Mini_Title_Arial"/>
    <w:next w:val="Mini_Title_Arial"/>
    <w:pPr>
      <w:keepNext w:val="0"/>
      <w:keepLines w:val="0"/>
      <w:pageBreakBefore w:val="0"/>
      <w:widowControl w:val="1"/>
      <w:shd w:val="clear" w:color="auto" w:fill="auto"/>
      <w:suppressAutoHyphens w:val="0"/>
      <w:bidi w:val="0"/>
      <w:spacing w:before="220" w:after="12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vertAlign w:val="baseline"/>
      <w:lang w:val="en-US"/>
    </w:rPr>
  </w:style>
  <w:style w:type="paragraph" w:styleId="Footer">
    <w:name w:val="Footer"/>
    <w:next w:val="Footer"/>
    <w:pPr>
      <w:keepNext w:val="0"/>
      <w:keepLines w:val="0"/>
      <w:pageBreakBefore w:val="0"/>
      <w:widowControl w:val="0"/>
      <w:shd w:val="clear" w:color="auto" w:fill="auto"/>
      <w:tabs>
        <w:tab w:val="center" w:pos="4536"/>
        <w:tab w:val="right" w:pos="9356"/>
      </w:tabs>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18"/>
      <w:szCs w:val="18"/>
      <w:u w:val="none"/>
      <w:vertAlign w:val="baseline"/>
      <w:lang w:val="en-US"/>
    </w:rPr>
  </w:style>
  <w:style w:type="character" w:styleId="DocsOpen Filename">
    <w:name w:val="DocsOpen Filename"/>
    <w:rPr>
      <w:color w:val="000000"/>
      <w:sz w:val="18"/>
      <w:szCs w:val="18"/>
      <w:lang w:val="en-US"/>
    </w:rPr>
  </w:style>
  <w:style w:type="paragraph" w:styleId="TOCHeader">
    <w:name w:val="TOCHeader"/>
    <w:next w:val="TOCHeader"/>
    <w:pPr>
      <w:keepNext w:val="0"/>
      <w:keepLines w:val="0"/>
      <w:pageBreakBefore w:val="0"/>
      <w:widowControl w:val="0"/>
      <w:shd w:val="clear" w:color="auto" w:fill="auto"/>
      <w:suppressAutoHyphens w:val="0"/>
      <w:bidi w:val="0"/>
      <w:spacing w:before="0" w:after="220" w:line="240" w:lineRule="auto"/>
      <w:ind w:left="0" w:right="0" w:firstLine="0"/>
      <w:jc w:val="left"/>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vertAlign w:val="baseline"/>
      <w:lang w:val="en-US"/>
    </w:rPr>
  </w:style>
  <w:style w:type="paragraph" w:styleId="TOC 1 parent">
    <w:name w:val="TOC 1 parent"/>
    <w:next w:val="Normal.0"/>
    <w:pPr>
      <w:keepNext w:val="1"/>
      <w:keepLines w:val="0"/>
      <w:pageBreakBefore w:val="0"/>
      <w:widowControl w:val="0"/>
      <w:shd w:val="clear" w:color="auto" w:fill="auto"/>
      <w:tabs>
        <w:tab w:val="left" w:pos="964" w:leader="dot"/>
        <w:tab w:val="right" w:pos="9356" w:leader="dot"/>
      </w:tabs>
      <w:suppressAutoHyphens w:val="0"/>
      <w:bidi w:val="0"/>
      <w:spacing w:before="120" w:after="120" w:line="240" w:lineRule="auto"/>
      <w:ind w:left="964" w:right="0" w:hanging="964"/>
      <w:jc w:val="left"/>
      <w:outlineLvl w:val="9"/>
    </w:pPr>
    <w:rPr>
      <w:rFonts w:ascii="Arial" w:cs="Arial" w:hAnsi="Arial" w:eastAsia="Arial"/>
      <w:b w:val="1"/>
      <w:bCs w:val="1"/>
      <w:i w:val="0"/>
      <w:iCs w:val="0"/>
      <w:caps w:val="0"/>
      <w:smallCaps w:val="0"/>
      <w:strike w:val="0"/>
      <w:dstrike w:val="0"/>
      <w:outline w:val="0"/>
      <w:color w:val="000000"/>
      <w:spacing w:val="0"/>
      <w:kern w:val="0"/>
      <w:position w:val="0"/>
      <w:sz w:val="22"/>
      <w:szCs w:val="22"/>
      <w:u w:val="none"/>
      <w:vertAlign w:val="baseline"/>
      <w:lang w:val="en-US"/>
    </w:rPr>
  </w:style>
  <w:style w:type="paragraph" w:styleId="TOC 1">
    <w:name w:val="TOC 1"/>
    <w:basedOn w:val="TOC 1 parent"/>
    <w:next w:val="Normal.0"/>
    <w:pPr>
      <w:tabs>
        <w:tab w:val="left" w:pos="546"/>
        <w:tab w:val="left" w:pos="964" w:leader="dot"/>
        <w:tab w:val="right" w:pos="9331" w:leader="dot"/>
        <w:tab w:val="clear" w:pos="964"/>
        <w:tab w:val="clear" w:pos="9356"/>
      </w:tabs>
    </w:pPr>
  </w:style>
  <w:style w:type="paragraph" w:styleId="Heading 1 A">
    <w:name w:val="Heading 1 A"/>
    <w:next w:val="IndentParaLevel1"/>
    <w:pPr>
      <w:keepNext w:val="1"/>
      <w:keepLines w:val="0"/>
      <w:pageBreakBefore w:val="0"/>
      <w:widowControl w:val="0"/>
      <w:shd w:val="clear" w:color="auto" w:fill="auto"/>
      <w:tabs>
        <w:tab w:val="left" w:pos="964"/>
      </w:tabs>
      <w:suppressAutoHyphens w:val="0"/>
      <w:bidi w:val="0"/>
      <w:spacing w:before="0" w:after="220" w:line="240" w:lineRule="auto"/>
      <w:ind w:left="0" w:right="0" w:firstLine="0"/>
      <w:jc w:val="left"/>
      <w:outlineLvl w:val="0"/>
    </w:pPr>
    <w:rPr>
      <w:rFonts w:ascii="Arial" w:cs="Arial" w:hAnsi="Arial" w:eastAsia="Arial"/>
      <w:b w:val="1"/>
      <w:bCs w:val="1"/>
      <w:i w:val="0"/>
      <w:iCs w:val="0"/>
      <w:caps w:val="0"/>
      <w:smallCaps w:val="0"/>
      <w:strike w:val="0"/>
      <w:dstrike w:val="0"/>
      <w:outline w:val="0"/>
      <w:color w:val="000000"/>
      <w:spacing w:val="0"/>
      <w:kern w:val="0"/>
      <w:position w:val="0"/>
      <w:sz w:val="28"/>
      <w:szCs w:val="28"/>
      <w:u w:val="none"/>
      <w:vertAlign w:val="baseline"/>
      <w:lang w:val="en-US"/>
    </w:rPr>
  </w:style>
  <w:style w:type="paragraph" w:styleId="IndentParaLevel1">
    <w:name w:val="IndentParaLevel1"/>
    <w:next w:val="IndentParaLevel1"/>
    <w:pPr>
      <w:keepNext w:val="0"/>
      <w:keepLines w:val="0"/>
      <w:pageBreakBefore w:val="0"/>
      <w:widowControl w:val="0"/>
      <w:shd w:val="clear" w:color="auto" w:fill="auto"/>
      <w:suppressAutoHyphens w:val="0"/>
      <w:bidi w:val="0"/>
      <w:spacing w:before="0" w:after="220" w:line="240" w:lineRule="auto"/>
      <w:ind w:left="964"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TOC 2 parent">
    <w:name w:val="TOC 2 parent"/>
    <w:next w:val="Normal.0"/>
    <w:pPr>
      <w:keepNext w:val="0"/>
      <w:keepLines w:val="0"/>
      <w:pageBreakBefore w:val="0"/>
      <w:widowControl w:val="0"/>
      <w:shd w:val="clear" w:color="auto" w:fill="auto"/>
      <w:tabs>
        <w:tab w:val="left" w:pos="1928"/>
        <w:tab w:val="right" w:pos="9356" w:leader="dot"/>
      </w:tabs>
      <w:suppressAutoHyphens w:val="0"/>
      <w:bidi w:val="0"/>
      <w:spacing w:before="0" w:after="0" w:line="240" w:lineRule="auto"/>
      <w:ind w:left="1928" w:right="0" w:hanging="964"/>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TOC 2">
    <w:name w:val="TOC 2"/>
    <w:basedOn w:val="TOC 2 parent"/>
    <w:next w:val="Normal.0"/>
    <w:pPr>
      <w:tabs>
        <w:tab w:val="left" w:pos="1510"/>
        <w:tab w:val="left" w:pos="1928"/>
        <w:tab w:val="right" w:pos="9331" w:leader="dot"/>
        <w:tab w:val="clear" w:pos="1928"/>
        <w:tab w:val="clear" w:pos="9356"/>
      </w:tabs>
    </w:pPr>
  </w:style>
  <w:style w:type="paragraph" w:styleId="Heading 2 A">
    <w:name w:val="Heading 2 A"/>
    <w:next w:val="IndentParaLevel1"/>
    <w:pPr>
      <w:keepNext w:val="1"/>
      <w:keepLines w:val="0"/>
      <w:pageBreakBefore w:val="0"/>
      <w:widowControl w:val="0"/>
      <w:shd w:val="clear" w:color="auto" w:fill="auto"/>
      <w:tabs>
        <w:tab w:val="left" w:pos="964"/>
      </w:tabs>
      <w:suppressAutoHyphens w:val="0"/>
      <w:bidi w:val="0"/>
      <w:spacing w:before="0" w:after="220" w:line="240" w:lineRule="auto"/>
      <w:ind w:left="0" w:right="0" w:firstLine="0"/>
      <w:jc w:val="left"/>
      <w:outlineLvl w:val="1"/>
    </w:pPr>
    <w:rPr>
      <w:rFonts w:ascii="Arial" w:cs="Arial" w:hAnsi="Arial" w:eastAsia="Arial"/>
      <w:b w:val="1"/>
      <w:bCs w:val="1"/>
      <w:i w:val="0"/>
      <w:iCs w:val="0"/>
      <w:caps w:val="0"/>
      <w:smallCaps w:val="0"/>
      <w:strike w:val="0"/>
      <w:dstrike w:val="0"/>
      <w:outline w:val="0"/>
      <w:color w:val="000000"/>
      <w:spacing w:val="0"/>
      <w:kern w:val="0"/>
      <w:position w:val="0"/>
      <w:sz w:val="24"/>
      <w:szCs w:val="24"/>
      <w:u w:val="none"/>
      <w:vertAlign w:val="baseline"/>
      <w:lang w:val="en-US"/>
    </w:rPr>
  </w:style>
  <w:style w:type="paragraph" w:styleId="TOC 3">
    <w:name w:val="TOC 3"/>
    <w:basedOn w:val="TOC 1 parent"/>
    <w:next w:val="Normal.0"/>
    <w:pPr>
      <w:tabs>
        <w:tab w:val="left" w:pos="964" w:leader="dot"/>
        <w:tab w:val="right" w:pos="9331" w:leader="dot"/>
        <w:tab w:val="clear" w:pos="964"/>
        <w:tab w:val="clear" w:pos="9356"/>
      </w:tabs>
    </w:pPr>
  </w:style>
  <w:style w:type="paragraph" w:styleId="Heading 9 A">
    <w:name w:val="Heading 9 A"/>
    <w:next w:val="Normal.0"/>
    <w:pPr>
      <w:keepNext w:val="0"/>
      <w:keepLines w:val="0"/>
      <w:pageBreakBefore w:val="0"/>
      <w:widowControl w:val="0"/>
      <w:shd w:val="clear" w:color="auto" w:fill="auto"/>
      <w:suppressAutoHyphens w:val="0"/>
      <w:bidi w:val="0"/>
      <w:spacing w:before="0" w:after="220" w:line="240" w:lineRule="auto"/>
      <w:ind w:left="0" w:right="0" w:firstLine="0"/>
      <w:jc w:val="left"/>
      <w:outlineLvl w:val="2"/>
    </w:pPr>
    <w:rPr>
      <w:rFonts w:ascii="Arial" w:cs="Arial" w:hAnsi="Arial" w:eastAsia="Arial"/>
      <w:b w:val="1"/>
      <w:bCs w:val="1"/>
      <w:i w:val="0"/>
      <w:iCs w:val="0"/>
      <w:caps w:val="0"/>
      <w:smallCaps w:val="0"/>
      <w:strike w:val="0"/>
      <w:dstrike w:val="0"/>
      <w:outline w:val="0"/>
      <w:color w:val="000000"/>
      <w:spacing w:val="0"/>
      <w:kern w:val="0"/>
      <w:position w:val="0"/>
      <w:sz w:val="24"/>
      <w:szCs w:val="24"/>
      <w:u w:val="none"/>
      <w:vertAlign w:val="baseline"/>
      <w:lang w:val="en-US"/>
    </w:rPr>
  </w:style>
  <w:style w:type="character" w:styleId="Page Number">
    <w:name w:val="Page Number"/>
    <w:rPr>
      <w:color w:val="000000"/>
      <w:sz w:val="20"/>
      <w:szCs w:val="20"/>
    </w:rPr>
  </w:style>
  <w:style w:type="paragraph" w:styleId="Subtitle">
    <w:name w:val="Subtitle"/>
    <w:next w:val="Subtitle"/>
    <w:pPr>
      <w:keepNext w:val="0"/>
      <w:keepLines w:val="0"/>
      <w:pageBreakBefore w:val="0"/>
      <w:widowControl w:val="0"/>
      <w:shd w:val="clear" w:color="auto" w:fill="auto"/>
      <w:suppressAutoHyphens w:val="0"/>
      <w:bidi w:val="0"/>
      <w:spacing w:before="0" w:after="220" w:line="240" w:lineRule="auto"/>
      <w:ind w:left="0" w:right="0" w:firstLine="0"/>
      <w:jc w:val="left"/>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vertAlign w:val="baseline"/>
      <w:lang w:val="en-US"/>
    </w:rPr>
  </w:style>
  <w:style w:type="paragraph" w:styleId="Recital">
    <w:name w:val="Recital"/>
    <w:next w:val="Recital"/>
    <w:pPr>
      <w:keepNext w:val="0"/>
      <w:keepLines w:val="0"/>
      <w:pageBreakBefore w:val="0"/>
      <w:widowControl w:val="0"/>
      <w:shd w:val="clear" w:color="auto" w:fill="auto"/>
      <w:suppressAutoHyphens w:val="0"/>
      <w:bidi w:val="0"/>
      <w:spacing w:before="0" w:after="22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numbering" w:styleId="List 1">
    <w:name w:val="List 1"/>
    <w:pPr>
      <w:numPr>
        <w:numId w:val="3"/>
      </w:numPr>
    </w:pPr>
  </w:style>
  <w:style w:type="paragraph" w:styleId="Heading 3 A">
    <w:name w:val="Heading 3 A"/>
    <w:next w:val="Heading 3 A"/>
    <w:pPr>
      <w:keepNext w:val="0"/>
      <w:keepLines w:val="0"/>
      <w:pageBreakBefore w:val="0"/>
      <w:widowControl w:val="0"/>
      <w:shd w:val="clear" w:color="auto" w:fill="auto"/>
      <w:tabs>
        <w:tab w:val="left" w:pos="1928"/>
      </w:tabs>
      <w:suppressAutoHyphens w:val="0"/>
      <w:bidi w:val="0"/>
      <w:spacing w:before="0" w:after="220" w:line="240" w:lineRule="auto"/>
      <w:ind w:left="0" w:right="0" w:firstLine="0"/>
      <w:jc w:val="left"/>
      <w:outlineLvl w:val="2"/>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2"/>
      <w:szCs w:val="22"/>
      <w:u w:val="none"/>
      <w:vertAlign w:val="baseline"/>
      <w:lang w:val="en-US"/>
    </w:rPr>
  </w:style>
  <w:style w:type="character" w:styleId="Link">
    <w:name w:val="Link"/>
    <w:rPr>
      <w:color w:val="000099"/>
      <w:u w:val="single"/>
    </w:rPr>
  </w:style>
  <w:style w:type="character" w:styleId="Hyperlink.0">
    <w:name w:val="Hyperlink.0"/>
    <w:basedOn w:val="Link"/>
    <w:next w:val="Hyperlink.0"/>
    <w:rPr>
      <w:rFonts w:ascii="Helvetica Neue" w:cs="Helvetica Neue" w:hAnsi="Helvetica Neue" w:eastAsia="Helvetica Neue"/>
      <w:color w:val="000000"/>
      <w:sz w:val="24"/>
      <w:szCs w:val="24"/>
      <w:u w:val="none"/>
    </w:rPr>
  </w:style>
  <w:style w:type="paragraph" w:styleId="CU_Number3">
    <w:name w:val="CU_Number3"/>
    <w:next w:val="CU_Number3"/>
    <w:pPr>
      <w:keepNext w:val="0"/>
      <w:keepLines w:val="0"/>
      <w:pageBreakBefore w:val="0"/>
      <w:widowControl w:val="0"/>
      <w:shd w:val="clear" w:color="auto" w:fill="auto"/>
      <w:tabs>
        <w:tab w:val="left" w:pos="1928"/>
      </w:tabs>
      <w:suppressAutoHyphens w:val="0"/>
      <w:bidi w:val="0"/>
      <w:spacing w:before="0" w:after="22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numbering" w:styleId="List 3">
    <w:name w:val="List 3"/>
    <w:pPr>
      <w:numPr>
        <w:numId w:val="8"/>
      </w:numPr>
    </w:pPr>
  </w:style>
  <w:style w:type="paragraph" w:styleId="CU_Number4">
    <w:name w:val="CU_Number4"/>
    <w:next w:val="CU_Number4"/>
    <w:pPr>
      <w:keepNext w:val="0"/>
      <w:keepLines w:val="0"/>
      <w:pageBreakBefore w:val="0"/>
      <w:widowControl w:val="0"/>
      <w:shd w:val="clear" w:color="auto" w:fill="auto"/>
      <w:tabs>
        <w:tab w:val="left" w:pos="2891"/>
      </w:tabs>
      <w:suppressAutoHyphens w:val="0"/>
      <w:bidi w:val="0"/>
      <w:spacing w:before="0" w:after="22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TableText">
    <w:name w:val="TableText"/>
    <w:next w:val="TableText"/>
    <w:pPr>
      <w:keepNext w:val="0"/>
      <w:keepLines w:val="0"/>
      <w:pageBreakBefore w:val="0"/>
      <w:widowControl w:val="0"/>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IndentParaLevel2">
    <w:name w:val="IndentParaLevel2"/>
    <w:next w:val="IndentParaLevel2"/>
    <w:pPr>
      <w:keepNext w:val="0"/>
      <w:keepLines w:val="0"/>
      <w:pageBreakBefore w:val="0"/>
      <w:widowControl w:val="0"/>
      <w:shd w:val="clear" w:color="auto" w:fill="auto"/>
      <w:suppressAutoHyphens w:val="0"/>
      <w:bidi w:val="0"/>
      <w:spacing w:before="0" w:after="220" w:line="240" w:lineRule="auto"/>
      <w:ind w:left="1928"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Heading 4 A">
    <w:name w:val="Heading 4 A"/>
    <w:next w:val="Heading 4 A"/>
    <w:pPr>
      <w:keepNext w:val="0"/>
      <w:keepLines w:val="0"/>
      <w:pageBreakBefore w:val="0"/>
      <w:widowControl w:val="0"/>
      <w:shd w:val="clear" w:color="auto" w:fill="auto"/>
      <w:tabs>
        <w:tab w:val="left" w:pos="2892"/>
      </w:tabs>
      <w:suppressAutoHyphens w:val="0"/>
      <w:bidi w:val="0"/>
      <w:spacing w:before="0" w:after="220" w:line="240" w:lineRule="auto"/>
      <w:ind w:left="0" w:right="0" w:firstLine="0"/>
      <w:jc w:val="left"/>
      <w:outlineLvl w:val="3"/>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theme" Target="theme/theme1.xml"/></Relationships>

</file>

<file path=word/_rels/header1.xml.rels><?xml version="1.0" encoding="UTF-8" standalone="yes"?><Relationships xmlns="http://schemas.openxmlformats.org/package/2006/relationships"><Relationship Id="rId1" Type="http://schemas.openxmlformats.org/officeDocument/2006/relationships/image" Target="media/image1.tif"/></Relationships>

</file>

<file path=word/_rels/header2.xml.rels><?xml version="1.0" encoding="UTF-8" standalone="yes"?><Relationships xmlns="http://schemas.openxmlformats.org/package/2006/relationships"><Relationship Id="rId1" Type="http://schemas.openxmlformats.org/officeDocument/2006/relationships/image" Target="media/image1.tif"/></Relationships>

</file>

<file path=word/_rels/header3.xml.rels><?xml version="1.0" encoding="UTF-8" standalone="yes"?><Relationships xmlns="http://schemas.openxmlformats.org/package/2006/relationships"><Relationship Id="rId1" Type="http://schemas.openxmlformats.org/officeDocument/2006/relationships/image" Target="media/image1.tif"/></Relationships>

</file>

<file path=word/_rels/header4.xml.rels><?xml version="1.0" encoding="UTF-8" standalone="yes"?><Relationships xmlns="http://schemas.openxmlformats.org/package/2006/relationships"><Relationship Id="rId1" Type="http://schemas.openxmlformats.org/officeDocument/2006/relationships/image" Target="media/image1.tif"/></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61214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612140" rtl="0" fontAlgn="auto" latinLnBrk="0" hangingPunct="0">
          <a:lnSpc>
            <a:spcPct val="100000"/>
          </a:lnSpc>
          <a:spcBef>
            <a:spcPts val="0"/>
          </a:spcBef>
          <a:spcAft>
            <a:spcPts val="0"/>
          </a:spcAft>
          <a:buClrTx/>
          <a:buSzTx/>
          <a:buFontTx/>
          <a:buNone/>
          <a:tabLst/>
          <a:defRPr b="0" baseline="0" cap="none" i="0" spc="0" strike="noStrike" sz="1000" u="none" kumimoji="0" normalizeH="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